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3"/>
        <w:gridCol w:w="23"/>
        <w:gridCol w:w="8977"/>
        <w:gridCol w:w="23"/>
      </w:tblGrid>
      <w:tr w:rsidR="00C62D67" w14:paraId="26DD2934" w14:textId="77777777">
        <w:tc>
          <w:tcPr>
            <w:tcW w:w="23" w:type="dxa"/>
          </w:tcPr>
          <w:p w14:paraId="0035C0E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46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3978"/>
            </w:tblGrid>
            <w:tr w:rsidR="00C62D67" w14:paraId="43913CC2" w14:textId="77777777">
              <w:trPr>
                <w:trHeight w:val="260"/>
              </w:trPr>
              <w:tc>
                <w:tcPr>
                  <w:tcW w:w="5091" w:type="dxa"/>
                </w:tcPr>
                <w:p w14:paraId="29355001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7D4B0F27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C62D67" w14:paraId="3B11D4EB" w14:textId="77777777">
              <w:trPr>
                <w:trHeight w:val="260"/>
              </w:trPr>
              <w:tc>
                <w:tcPr>
                  <w:tcW w:w="5091" w:type="dxa"/>
                </w:tcPr>
                <w:p w14:paraId="35D4C667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3ECC34C9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Neringos savivaldybės</w:t>
                  </w:r>
                </w:p>
              </w:tc>
            </w:tr>
            <w:tr w:rsidR="00C62D67" w14:paraId="6DCD3667" w14:textId="77777777">
              <w:trPr>
                <w:trHeight w:val="260"/>
              </w:trPr>
              <w:tc>
                <w:tcPr>
                  <w:tcW w:w="5091" w:type="dxa"/>
                </w:tcPr>
                <w:p w14:paraId="3622034E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51E58932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2023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balandžio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28 d.</w:t>
                  </w:r>
                </w:p>
              </w:tc>
            </w:tr>
            <w:tr w:rsidR="00C62D67" w14:paraId="0BBBA94E" w14:textId="77777777">
              <w:trPr>
                <w:trHeight w:val="260"/>
              </w:trPr>
              <w:tc>
                <w:tcPr>
                  <w:tcW w:w="5091" w:type="dxa"/>
                </w:tcPr>
                <w:p w14:paraId="74ACF531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2A4748AC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potvarkis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Nr.: V10-38</w:t>
                  </w:r>
                </w:p>
              </w:tc>
            </w:tr>
            <w:tr w:rsidR="00C62D67" w14:paraId="6E37DE4E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395ADF5E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05FFF4D9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70584946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NERINGOS SAVIVALDYBĖS</w:t>
                  </w:r>
                </w:p>
              </w:tc>
            </w:tr>
            <w:tr w:rsidR="00C62D67" w14:paraId="6C0CFC0E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760EA65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MERO PADĖJĖJO</w:t>
                  </w:r>
                </w:p>
              </w:tc>
            </w:tr>
            <w:tr w:rsidR="00C62D67" w14:paraId="1C572757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492E9D58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568CFD6F" w14:textId="77777777" w:rsidR="00C62D67" w:rsidRDefault="00C62D67"/>
        </w:tc>
        <w:tc>
          <w:tcPr>
            <w:tcW w:w="23" w:type="dxa"/>
          </w:tcPr>
          <w:p w14:paraId="79E37A71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35ADBB1A" w14:textId="77777777">
        <w:trPr>
          <w:trHeight w:val="349"/>
        </w:trPr>
        <w:tc>
          <w:tcPr>
            <w:tcW w:w="23" w:type="dxa"/>
          </w:tcPr>
          <w:p w14:paraId="0D8275F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0F3BEBF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1E98C91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7C24EB8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7452E3F3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AFFE2D4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76FE2385" w14:textId="77777777">
        <w:tc>
          <w:tcPr>
            <w:tcW w:w="23" w:type="dxa"/>
          </w:tcPr>
          <w:p w14:paraId="64EFB759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59C88B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46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2D67" w14:paraId="5EC6C2F1" w14:textId="77777777">
              <w:trPr>
                <w:trHeight w:val="720"/>
              </w:trPr>
              <w:tc>
                <w:tcPr>
                  <w:tcW w:w="9070" w:type="dxa"/>
                </w:tcPr>
                <w:p w14:paraId="1E6F55F6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0419390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C62D67" w14:paraId="29923011" w14:textId="77777777">
              <w:trPr>
                <w:trHeight w:val="260"/>
              </w:trPr>
              <w:tc>
                <w:tcPr>
                  <w:tcW w:w="9070" w:type="dxa"/>
                </w:tcPr>
                <w:p w14:paraId="0A318A45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Nenustatomas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161E95E0" w14:textId="77777777">
              <w:trPr>
                <w:trHeight w:val="260"/>
              </w:trPr>
              <w:tc>
                <w:tcPr>
                  <w:tcW w:w="9070" w:type="dxa"/>
                </w:tcPr>
                <w:p w14:paraId="684ABC16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E686BD9" w14:textId="77777777" w:rsidR="00C62D67" w:rsidRDefault="00C62D67"/>
        </w:tc>
      </w:tr>
      <w:tr w:rsidR="00C62D67" w14:paraId="1CAA4045" w14:textId="77777777">
        <w:trPr>
          <w:trHeight w:val="120"/>
        </w:trPr>
        <w:tc>
          <w:tcPr>
            <w:tcW w:w="23" w:type="dxa"/>
          </w:tcPr>
          <w:p w14:paraId="0EA58E4B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0509929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F105911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135AA3C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22D0857B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49D96AD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5428D6A0" w14:textId="77777777">
        <w:tc>
          <w:tcPr>
            <w:tcW w:w="23" w:type="dxa"/>
          </w:tcPr>
          <w:p w14:paraId="4A704D3D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1500383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46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2D67" w14:paraId="217D6077" w14:textId="77777777">
              <w:trPr>
                <w:trHeight w:val="600"/>
              </w:trPr>
              <w:tc>
                <w:tcPr>
                  <w:tcW w:w="9070" w:type="dxa"/>
                </w:tcPr>
                <w:p w14:paraId="05A39714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6FE78F9D" w14:textId="77777777" w:rsidR="00C62D67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62D67" w14:paraId="54E0FFDE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C62D67" w14:paraId="7A80253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1EA7465" w14:textId="77777777" w:rsidR="00C62D67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  <w:tr w:rsidR="00C62D67" w14:paraId="2D3E8ED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121EAEF" w14:textId="77777777" w:rsidR="00C62D67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53FABAE7" w14:textId="77777777" w:rsidR="00C62D67" w:rsidRDefault="00C62D67"/>
              </w:tc>
            </w:tr>
          </w:tbl>
          <w:p w14:paraId="56C4BA38" w14:textId="77777777" w:rsidR="00C62D67" w:rsidRDefault="00C62D67"/>
        </w:tc>
      </w:tr>
      <w:tr w:rsidR="00C62D67" w14:paraId="2F4BE526" w14:textId="77777777">
        <w:trPr>
          <w:trHeight w:val="126"/>
        </w:trPr>
        <w:tc>
          <w:tcPr>
            <w:tcW w:w="23" w:type="dxa"/>
          </w:tcPr>
          <w:p w14:paraId="3DBEA1A0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4B475F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3FDF5F5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0D187CF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0153AE79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2591A20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0A92069C" w14:textId="77777777">
        <w:tc>
          <w:tcPr>
            <w:tcW w:w="23" w:type="dxa"/>
          </w:tcPr>
          <w:p w14:paraId="0DA2B1C1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589F668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46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2D67" w14:paraId="6736DD1C" w14:textId="77777777">
              <w:trPr>
                <w:trHeight w:val="600"/>
              </w:trPr>
              <w:tc>
                <w:tcPr>
                  <w:tcW w:w="9070" w:type="dxa"/>
                </w:tcPr>
                <w:p w14:paraId="08BEBD97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187BFA1D" w14:textId="77777777" w:rsidR="00C62D67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62D67" w14:paraId="4B2724A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C62D67" w14:paraId="69C11D8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ECD6C50" w14:textId="77777777" w:rsidR="00C62D67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  <w:tr w:rsidR="00C62D67" w14:paraId="31C8ABB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097273A" w14:textId="77777777" w:rsidR="00C62D67" w:rsidRDefault="00000000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A708EE7" w14:textId="77777777" w:rsidR="00C62D67" w:rsidRDefault="00C62D67"/>
              </w:tc>
            </w:tr>
          </w:tbl>
          <w:p w14:paraId="37B735A7" w14:textId="77777777" w:rsidR="00C62D67" w:rsidRDefault="00C62D67"/>
        </w:tc>
      </w:tr>
      <w:tr w:rsidR="00C62D67" w14:paraId="20488BAE" w14:textId="77777777">
        <w:trPr>
          <w:trHeight w:val="100"/>
        </w:trPr>
        <w:tc>
          <w:tcPr>
            <w:tcW w:w="23" w:type="dxa"/>
          </w:tcPr>
          <w:p w14:paraId="1F14585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A8D573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B56FA58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2CEF25C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38349EF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C2767D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7923A816" w14:textId="77777777">
        <w:tc>
          <w:tcPr>
            <w:tcW w:w="23" w:type="dxa"/>
          </w:tcPr>
          <w:p w14:paraId="1A2345C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638227B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28F9DF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23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2D67" w14:paraId="3465E1C4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C62D67" w14:paraId="4D36FBD9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1AAB683E" w14:textId="77777777" w:rsidR="00C62D67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3CCADAC1" w14:textId="77777777" w:rsidR="00C62D67" w:rsidRDefault="0000000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51689696" w14:textId="77777777" w:rsidR="00C62D67" w:rsidRDefault="00C62D67"/>
              </w:tc>
            </w:tr>
          </w:tbl>
          <w:p w14:paraId="4392FDE9" w14:textId="77777777" w:rsidR="00C62D67" w:rsidRDefault="00C62D67"/>
        </w:tc>
      </w:tr>
      <w:tr w:rsidR="00C62D67" w14:paraId="4913D9B0" w14:textId="77777777">
        <w:trPr>
          <w:trHeight w:val="23"/>
        </w:trPr>
        <w:tc>
          <w:tcPr>
            <w:tcW w:w="23" w:type="dxa"/>
          </w:tcPr>
          <w:p w14:paraId="67F44907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1A2874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32BB029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E121625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46E87005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E1E3CEB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605C6F97" w14:textId="77777777">
        <w:tc>
          <w:tcPr>
            <w:tcW w:w="23" w:type="dxa"/>
          </w:tcPr>
          <w:p w14:paraId="1993185F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46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69"/>
            </w:tblGrid>
            <w:tr w:rsidR="00C62D67" w14:paraId="08E20421" w14:textId="77777777">
              <w:trPr>
                <w:trHeight w:val="260"/>
              </w:trPr>
              <w:tc>
                <w:tcPr>
                  <w:tcW w:w="9069" w:type="dxa"/>
                </w:tcPr>
                <w:p w14:paraId="3B1AA969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7. Mero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tekstus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pasisakymams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vardu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sveikinimus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padėkas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įvairioms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veikėjams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nariams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61211F64" w14:textId="77777777">
              <w:trPr>
                <w:trHeight w:val="260"/>
              </w:trPr>
              <w:tc>
                <w:tcPr>
                  <w:tcW w:w="9069" w:type="dxa"/>
                </w:tcPr>
                <w:p w14:paraId="61C51770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planus,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integravimą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72F43D72" w14:textId="77777777">
              <w:trPr>
                <w:trHeight w:val="260"/>
              </w:trPr>
              <w:tc>
                <w:tcPr>
                  <w:tcW w:w="9069" w:type="dxa"/>
                </w:tcPr>
                <w:p w14:paraId="4EBE3B42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efektyvumą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naujausias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tendencijas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galimybes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02A0DDB4" w14:textId="77777777">
              <w:trPr>
                <w:trHeight w:val="260"/>
              </w:trPr>
              <w:tc>
                <w:tcPr>
                  <w:tcW w:w="9069" w:type="dxa"/>
                </w:tcPr>
                <w:p w14:paraId="1EE642E4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nuolatinę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naujienų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prognozuoja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krizes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11CFC040" w14:textId="77777777">
              <w:trPr>
                <w:trHeight w:val="260"/>
              </w:trPr>
              <w:tc>
                <w:tcPr>
                  <w:tcW w:w="9069" w:type="dxa"/>
                </w:tcPr>
                <w:p w14:paraId="7065F0B2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piliečių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5E1B533E" w14:textId="77777777">
              <w:trPr>
                <w:trHeight w:val="260"/>
              </w:trPr>
              <w:tc>
                <w:tcPr>
                  <w:tcW w:w="9069" w:type="dxa"/>
                </w:tcPr>
                <w:p w14:paraId="6A0F0AB9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aktualiausius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įtaką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raidai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atitinkamus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3827C13C" w14:textId="77777777">
              <w:trPr>
                <w:trHeight w:val="260"/>
              </w:trPr>
              <w:tc>
                <w:tcPr>
                  <w:tcW w:w="9069" w:type="dxa"/>
                </w:tcPr>
                <w:p w14:paraId="59554AE9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13.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gyventojų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gaunamus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raštus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1D957B34" w14:textId="77777777">
              <w:trPr>
                <w:trHeight w:val="260"/>
              </w:trPr>
              <w:tc>
                <w:tcPr>
                  <w:tcW w:w="9069" w:type="dxa"/>
                </w:tcPr>
                <w:p w14:paraId="682CE68C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suformuotą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;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patarimus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politikos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587B74AA" w14:textId="77777777">
              <w:trPr>
                <w:trHeight w:val="260"/>
              </w:trPr>
              <w:tc>
                <w:tcPr>
                  <w:tcW w:w="9069" w:type="dxa"/>
                </w:tcPr>
                <w:p w14:paraId="0AA4346A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pasitarimuose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5153017F" w14:textId="77777777">
              <w:trPr>
                <w:trHeight w:val="260"/>
              </w:trPr>
              <w:tc>
                <w:tcPr>
                  <w:tcW w:w="9069" w:type="dxa"/>
                </w:tcPr>
                <w:p w14:paraId="13377367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Palaiko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bendradarbiavimo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nevyriausybinėmis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gyventojų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diaspora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užsienyje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rūpinasi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sudarytos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tinkamos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prielaidos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galimybės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gyvenamųjų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vietovių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narius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įtraukti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121B8E3D" w14:textId="77777777">
              <w:trPr>
                <w:trHeight w:val="260"/>
              </w:trPr>
              <w:tc>
                <w:tcPr>
                  <w:tcW w:w="9069" w:type="dxa"/>
                </w:tcPr>
                <w:p w14:paraId="786D3F1F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planus,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integravimą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komunikacijos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302966E4" w14:textId="77777777">
              <w:trPr>
                <w:trHeight w:val="260"/>
              </w:trPr>
              <w:tc>
                <w:tcPr>
                  <w:tcW w:w="9069" w:type="dxa"/>
                </w:tcPr>
                <w:p w14:paraId="462C64F2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pasitarimuose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vizituose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delegacijomis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verslininkų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asociacijų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verslo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poziciją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svarstytais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6D776043" w14:textId="77777777">
              <w:trPr>
                <w:trHeight w:val="260"/>
              </w:trPr>
              <w:tc>
                <w:tcPr>
                  <w:tcW w:w="9069" w:type="dxa"/>
                </w:tcPr>
                <w:p w14:paraId="3F5CFD8A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viešąją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operatyviai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reaguoja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pasirodančią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netikslią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merui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platina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pareiškimus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62D67" w14:paraId="0E74D7D7" w14:textId="77777777">
              <w:trPr>
                <w:trHeight w:val="260"/>
              </w:trPr>
              <w:tc>
                <w:tcPr>
                  <w:tcW w:w="9069" w:type="dxa"/>
                </w:tcPr>
                <w:p w14:paraId="17B4CEF9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388FB1E" w14:textId="77777777" w:rsidR="00C62D67" w:rsidRDefault="00C62D67"/>
        </w:tc>
        <w:tc>
          <w:tcPr>
            <w:tcW w:w="23" w:type="dxa"/>
          </w:tcPr>
          <w:p w14:paraId="29168797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2E051EE5" w14:textId="77777777">
        <w:trPr>
          <w:trHeight w:val="99"/>
        </w:trPr>
        <w:tc>
          <w:tcPr>
            <w:tcW w:w="23" w:type="dxa"/>
          </w:tcPr>
          <w:p w14:paraId="5531D57C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3D7E9E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D347C43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18FE53E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285A394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853B2F5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077BF0AF" w14:textId="77777777">
        <w:tc>
          <w:tcPr>
            <w:tcW w:w="23" w:type="dxa"/>
          </w:tcPr>
          <w:p w14:paraId="157F126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6F0EF40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4174630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BEC7468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9000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2D67" w14:paraId="63AFB4CE" w14:textId="77777777">
              <w:trPr>
                <w:trHeight w:val="600"/>
              </w:trPr>
              <w:tc>
                <w:tcPr>
                  <w:tcW w:w="9070" w:type="dxa"/>
                </w:tcPr>
                <w:p w14:paraId="293A92DF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47214DBA" w14:textId="77777777" w:rsidR="00C62D67" w:rsidRDefault="00000000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C62D67" w14:paraId="43A362D1" w14:textId="77777777">
              <w:trPr>
                <w:trHeight w:val="260"/>
              </w:trPr>
              <w:tc>
                <w:tcPr>
                  <w:tcW w:w="9070" w:type="dxa"/>
                </w:tcPr>
                <w:p w14:paraId="66B833AD" w14:textId="77777777" w:rsidR="00C62D67" w:rsidRDefault="0000000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62D67" w14:paraId="32368602" w14:textId="77777777">
              <w:trPr>
                <w:trHeight w:val="678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C62D67" w14:paraId="2A7C9A32" w14:textId="77777777">
                    <w:trPr>
                      <w:trHeight w:val="67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C62D67" w14:paraId="6148213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6E12C623" w14:textId="77777777" w:rsidR="00C62D67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C62D67" w14:paraId="6818A950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272F994B" w14:textId="77777777" w:rsidR="00C62D67" w:rsidRDefault="00000000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politikos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).</w:t>
                              </w:r>
                            </w:p>
                          </w:tc>
                        </w:tr>
                      </w:tbl>
                      <w:p w14:paraId="15243E74" w14:textId="77777777" w:rsidR="00C62D67" w:rsidRDefault="00C62D67"/>
                    </w:tc>
                  </w:tr>
                </w:tbl>
                <w:p w14:paraId="09343088" w14:textId="77777777" w:rsidR="00C62D67" w:rsidRDefault="00C62D67"/>
              </w:tc>
            </w:tr>
          </w:tbl>
          <w:p w14:paraId="70BFC1D5" w14:textId="77777777" w:rsidR="00C62D67" w:rsidRDefault="00C62D67"/>
        </w:tc>
      </w:tr>
      <w:tr w:rsidR="00C62D67" w14:paraId="5CBA6228" w14:textId="77777777">
        <w:trPr>
          <w:trHeight w:val="490"/>
        </w:trPr>
        <w:tc>
          <w:tcPr>
            <w:tcW w:w="23" w:type="dxa"/>
          </w:tcPr>
          <w:p w14:paraId="38CD170E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EFA57BE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504DDD4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6BEE4A2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5455F3CA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0767D87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689242E2" w14:textId="77777777">
        <w:tc>
          <w:tcPr>
            <w:tcW w:w="9069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5669"/>
            </w:tblGrid>
            <w:tr w:rsidR="00C62D67" w14:paraId="6EDC2234" w14:textId="77777777">
              <w:trPr>
                <w:trHeight w:val="260"/>
              </w:trPr>
              <w:tc>
                <w:tcPr>
                  <w:tcW w:w="3401" w:type="dxa"/>
                </w:tcPr>
                <w:p w14:paraId="7554889F" w14:textId="77777777" w:rsidR="00C62D67" w:rsidRDefault="00000000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</w:tcPr>
                <w:p w14:paraId="470A3D3D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50E3B15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E1904F4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70DFB305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46A14FE1" w14:textId="77777777">
              <w:trPr>
                <w:trHeight w:val="260"/>
              </w:trPr>
              <w:tc>
                <w:tcPr>
                  <w:tcW w:w="3401" w:type="dxa"/>
                </w:tcPr>
                <w:p w14:paraId="4A182203" w14:textId="77777777" w:rsidR="00C62D67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1ADDB624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23BE20E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35824B8C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62990769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0F107053" w14:textId="77777777">
              <w:trPr>
                <w:trHeight w:val="260"/>
              </w:trPr>
              <w:tc>
                <w:tcPr>
                  <w:tcW w:w="3401" w:type="dxa"/>
                </w:tcPr>
                <w:p w14:paraId="50015559" w14:textId="77777777" w:rsidR="00C62D67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5E3414D7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1C0840B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4B1C911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337B4B65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25824340" w14:textId="77777777">
              <w:trPr>
                <w:trHeight w:val="260"/>
              </w:trPr>
              <w:tc>
                <w:tcPr>
                  <w:tcW w:w="3401" w:type="dxa"/>
                </w:tcPr>
                <w:p w14:paraId="03A6F929" w14:textId="77777777" w:rsidR="00C62D67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37B13D1D" w14:textId="77777777" w:rsidR="00C62D67" w:rsidRDefault="00C62D67">
                  <w:pPr>
                    <w:snapToGrid w:val="0"/>
                  </w:pPr>
                </w:p>
              </w:tc>
            </w:tr>
            <w:tr w:rsidR="00C62D67" w14:paraId="133F2330" w14:textId="77777777">
              <w:trPr>
                <w:trHeight w:val="260"/>
              </w:trPr>
              <w:tc>
                <w:tcPr>
                  <w:tcW w:w="3401" w:type="dxa"/>
                </w:tcPr>
                <w:p w14:paraId="115AAD31" w14:textId="77777777" w:rsidR="00C62D67" w:rsidRDefault="00C62D67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5EB2FA74" w14:textId="77777777" w:rsidR="00C62D67" w:rsidRDefault="00C62D67">
                  <w:pPr>
                    <w:snapToGrid w:val="0"/>
                  </w:pPr>
                </w:p>
              </w:tc>
            </w:tr>
          </w:tbl>
          <w:p w14:paraId="7835A341" w14:textId="77777777" w:rsidR="00C62D67" w:rsidRDefault="00C62D67"/>
        </w:tc>
        <w:tc>
          <w:tcPr>
            <w:tcW w:w="23" w:type="dxa"/>
          </w:tcPr>
          <w:p w14:paraId="3CC4E502" w14:textId="77777777" w:rsidR="00C62D67" w:rsidRDefault="00C62D67">
            <w:pPr>
              <w:pStyle w:val="EmptyLayoutCell"/>
              <w:snapToGrid w:val="0"/>
            </w:pPr>
          </w:p>
        </w:tc>
      </w:tr>
      <w:tr w:rsidR="00C62D67" w14:paraId="2B90AC9A" w14:textId="77777777">
        <w:trPr>
          <w:trHeight w:val="911"/>
        </w:trPr>
        <w:tc>
          <w:tcPr>
            <w:tcW w:w="23" w:type="dxa"/>
          </w:tcPr>
          <w:p w14:paraId="4E1CCB0B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1A630E6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FAEC179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E40F13D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8977" w:type="dxa"/>
          </w:tcPr>
          <w:p w14:paraId="6C736010" w14:textId="77777777" w:rsidR="00C62D67" w:rsidRDefault="00C62D67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1393AC7" w14:textId="77777777" w:rsidR="00C62D67" w:rsidRDefault="00C62D67">
            <w:pPr>
              <w:pStyle w:val="EmptyLayoutCell"/>
              <w:snapToGrid w:val="0"/>
            </w:pPr>
          </w:p>
        </w:tc>
      </w:tr>
    </w:tbl>
    <w:p w14:paraId="683A4E49" w14:textId="77777777" w:rsidR="00C62D67" w:rsidRDefault="00C62D67"/>
    <w:sectPr w:rsidR="00C62D67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67"/>
    <w:rsid w:val="004B168A"/>
    <w:rsid w:val="008C5821"/>
    <w:rsid w:val="00C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CA60"/>
  <w15:docId w15:val="{5298537E-2D40-4E78-BE88-076D484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2361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dc:description/>
  <cp:lastModifiedBy>Virginija Kriscenovskyte</cp:lastModifiedBy>
  <cp:revision>2</cp:revision>
  <dcterms:created xsi:type="dcterms:W3CDTF">2025-10-15T06:31:00Z</dcterms:created>
  <dcterms:modified xsi:type="dcterms:W3CDTF">2025-10-15T06:31:00Z</dcterms:modified>
  <dc:language>lt-LT</dc:language>
</cp:coreProperties>
</file>