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87B0" w14:textId="16C84744" w:rsidR="003060F1" w:rsidRDefault="00E02EFD" w:rsidP="00E02EFD">
      <w:pPr>
        <w:widowControl w:val="0"/>
        <w:pBdr>
          <w:top w:val="nil"/>
          <w:left w:val="nil"/>
          <w:bottom w:val="nil"/>
          <w:right w:val="nil"/>
          <w:between w:val="nil"/>
        </w:pBdr>
        <w:spacing w:line="275" w:lineRule="auto"/>
        <w:ind w:left="6804"/>
        <w:rPr>
          <w:szCs w:val="24"/>
          <w:lang w:eastAsia="lt-LT"/>
        </w:rPr>
      </w:pPr>
      <w:r>
        <w:rPr>
          <w:szCs w:val="24"/>
          <w:lang w:eastAsia="lt-LT"/>
        </w:rPr>
        <w:t>PATVIRTINTA</w:t>
      </w:r>
      <w:r>
        <w:rPr>
          <w:szCs w:val="24"/>
          <w:lang w:eastAsia="lt-LT"/>
        </w:rPr>
        <w:br/>
        <w:t>Neringos savivaldybės tarybos</w:t>
      </w:r>
      <w:r>
        <w:rPr>
          <w:szCs w:val="24"/>
          <w:lang w:eastAsia="lt-LT"/>
        </w:rPr>
        <w:br/>
        <w:t>2025 m. balandžio 24 d. sprendimu Nr. T1-82</w:t>
      </w:r>
    </w:p>
    <w:p w14:paraId="267C325C" w14:textId="5589B632" w:rsidR="003060F1" w:rsidRDefault="003060F1">
      <w:pPr>
        <w:widowControl w:val="0"/>
        <w:pBdr>
          <w:top w:val="nil"/>
          <w:left w:val="nil"/>
          <w:bottom w:val="nil"/>
          <w:right w:val="nil"/>
          <w:between w:val="nil"/>
        </w:pBdr>
        <w:spacing w:line="275" w:lineRule="auto"/>
        <w:ind w:left="6804" w:firstLine="62"/>
        <w:jc w:val="both"/>
        <w:rPr>
          <w:szCs w:val="24"/>
          <w:lang w:eastAsia="lt-LT"/>
        </w:rPr>
      </w:pPr>
    </w:p>
    <w:p w14:paraId="131B8064" w14:textId="731C79DE" w:rsidR="003060F1" w:rsidRDefault="00E02EFD">
      <w:pPr>
        <w:widowControl w:val="0"/>
        <w:pBdr>
          <w:top w:val="nil"/>
          <w:left w:val="nil"/>
          <w:bottom w:val="nil"/>
          <w:right w:val="nil"/>
          <w:between w:val="nil"/>
        </w:pBdr>
        <w:spacing w:line="275" w:lineRule="auto"/>
        <w:jc w:val="center"/>
        <w:rPr>
          <w:b/>
          <w:bCs/>
          <w:szCs w:val="24"/>
          <w:lang w:eastAsia="lt-LT"/>
        </w:rPr>
      </w:pPr>
      <w:r>
        <w:rPr>
          <w:b/>
          <w:bCs/>
          <w:szCs w:val="24"/>
          <w:lang w:eastAsia="lt-LT"/>
        </w:rPr>
        <w:t>NERINGOS SPORTO MOKYKLOS</w:t>
      </w:r>
    </w:p>
    <w:p w14:paraId="21192684" w14:textId="77777777" w:rsidR="003060F1" w:rsidRDefault="00E02EFD">
      <w:pPr>
        <w:widowControl w:val="0"/>
        <w:pBdr>
          <w:top w:val="nil"/>
          <w:left w:val="nil"/>
          <w:bottom w:val="nil"/>
          <w:right w:val="nil"/>
          <w:between w:val="nil"/>
        </w:pBdr>
        <w:spacing w:line="275" w:lineRule="auto"/>
        <w:jc w:val="center"/>
        <w:rPr>
          <w:b/>
          <w:bCs/>
          <w:szCs w:val="24"/>
          <w:lang w:eastAsia="lt-LT"/>
        </w:rPr>
      </w:pPr>
      <w:r>
        <w:rPr>
          <w:b/>
          <w:bCs/>
          <w:szCs w:val="24"/>
          <w:lang w:eastAsia="lt-LT"/>
        </w:rPr>
        <w:t>2024 METŲ VEIKLOS ATASKAITA</w:t>
      </w:r>
    </w:p>
    <w:p w14:paraId="1ED7417C" w14:textId="77777777" w:rsidR="003060F1" w:rsidRDefault="003060F1">
      <w:pPr>
        <w:widowControl w:val="0"/>
        <w:pBdr>
          <w:top w:val="nil"/>
          <w:left w:val="nil"/>
          <w:bottom w:val="nil"/>
          <w:right w:val="nil"/>
          <w:between w:val="nil"/>
        </w:pBdr>
        <w:spacing w:line="275" w:lineRule="auto"/>
        <w:jc w:val="both"/>
        <w:rPr>
          <w:szCs w:val="24"/>
          <w:lang w:eastAsia="lt-LT"/>
        </w:rPr>
      </w:pPr>
    </w:p>
    <w:p w14:paraId="7C9B16AD"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I SKYRIUS</w:t>
      </w:r>
    </w:p>
    <w:p w14:paraId="42F7E61F" w14:textId="41A1F0AE"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VADOVO PRANEŠIMAS</w:t>
      </w:r>
    </w:p>
    <w:p w14:paraId="0062CC74" w14:textId="77777777" w:rsidR="003060F1" w:rsidRDefault="003060F1">
      <w:pPr>
        <w:widowControl w:val="0"/>
        <w:pBdr>
          <w:top w:val="nil"/>
          <w:left w:val="nil"/>
          <w:bottom w:val="nil"/>
          <w:right w:val="nil"/>
          <w:between w:val="nil"/>
        </w:pBdr>
        <w:spacing w:line="275" w:lineRule="auto"/>
        <w:jc w:val="center"/>
        <w:rPr>
          <w:b/>
          <w:szCs w:val="24"/>
          <w:lang w:eastAsia="lt-LT"/>
        </w:rPr>
      </w:pPr>
    </w:p>
    <w:p w14:paraId="3B441651" w14:textId="7EBFE240"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2024 metai Neringos sporto mokyklai (toliau – Mokykla) buvo aktyvios veiklos ir strateginių tikslų įgyvendinimo laikotarpis, žymintis tolesnį augimą, palyginus su 2023 metais. Vadovaujantis Mokyklos 2024–2026 m. strateginiu planu ir 2024 m. veiklos planu, buvo nuosekliai dirbama siekiant gerinti ugdymo kokybę, plėtoti prioritetines sporto šakas (buriavimo ir orientavimosi sportą), diegti skaitmenines inovacijas bei skatinti bendruomenės fizinį aktyvumą ir sveiką gyvenseną.</w:t>
      </w:r>
    </w:p>
    <w:p w14:paraId="3E190036" w14:textId="202538E3"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Pagrindiniai ataskaitinio laikotarpio veiklos rezultatai atspindi šią kryptį. Mokyklos 7 ugdymo programose dalyvavo 111 mokinių ir 31 suaugusysis. Mokykla organizavo 243 įvairaus lygio fizinio aktyvumo veiklas ir varžybas (ženklus augimas nuo 171 veiklų 2023 m.). Glaudus bendradarbiavimas su nacionalinėmis (LBS, „</w:t>
      </w:r>
      <w:proofErr w:type="spellStart"/>
      <w:r>
        <w:rPr>
          <w:szCs w:val="24"/>
          <w:lang w:eastAsia="lt-LT"/>
        </w:rPr>
        <w:t>Optimist</w:t>
      </w:r>
      <w:proofErr w:type="spellEnd"/>
      <w:r>
        <w:rPr>
          <w:szCs w:val="24"/>
          <w:lang w:eastAsia="lt-LT"/>
        </w:rPr>
        <w:t>“, „</w:t>
      </w:r>
      <w:proofErr w:type="spellStart"/>
      <w:r>
        <w:rPr>
          <w:szCs w:val="24"/>
          <w:lang w:eastAsia="lt-LT"/>
        </w:rPr>
        <w:t>Laser</w:t>
      </w:r>
      <w:proofErr w:type="spellEnd"/>
      <w:r>
        <w:rPr>
          <w:szCs w:val="24"/>
          <w:lang w:eastAsia="lt-LT"/>
        </w:rPr>
        <w:t xml:space="preserve">“, „RS </w:t>
      </w:r>
      <w:proofErr w:type="spellStart"/>
      <w:r>
        <w:rPr>
          <w:szCs w:val="24"/>
          <w:lang w:eastAsia="lt-LT"/>
        </w:rPr>
        <w:t>Feva</w:t>
      </w:r>
      <w:proofErr w:type="spellEnd"/>
      <w:r>
        <w:rPr>
          <w:szCs w:val="24"/>
          <w:lang w:eastAsia="lt-LT"/>
        </w:rPr>
        <w:t xml:space="preserve">“, Lietuvos 470 asociacija) ir tarptautinėmis buriavimo organizacijomis leido sportininkams įgyti aukšto lygio varžybų patirties, pavyzdžiui, sėkmingai suformavus 3 komandas RS FEVA Europos čempionatui Nidoje bei dalyvaujant „Baltic </w:t>
      </w:r>
      <w:proofErr w:type="spellStart"/>
      <w:r>
        <w:rPr>
          <w:szCs w:val="24"/>
          <w:lang w:eastAsia="lt-LT"/>
        </w:rPr>
        <w:t>Trophy</w:t>
      </w:r>
      <w:proofErr w:type="spellEnd"/>
      <w:r>
        <w:rPr>
          <w:szCs w:val="24"/>
          <w:lang w:eastAsia="lt-LT"/>
        </w:rPr>
        <w:t>“ regatose Estijoje ir Suomijoje. Per metus Mokyklos ugdytiniai iškovojo 52 prizines (1–4) vietas įvairiose varžybose (panašus skaičius kaip 2023 m. – 50 vietų).</w:t>
      </w:r>
    </w:p>
    <w:p w14:paraId="6029E8D6" w14:textId="0CA439AC" w:rsidR="003060F1" w:rsidRDefault="00E02EFD">
      <w:pPr>
        <w:widowControl w:val="0"/>
        <w:pBdr>
          <w:top w:val="nil"/>
          <w:left w:val="nil"/>
          <w:bottom w:val="nil"/>
          <w:right w:val="nil"/>
          <w:between w:val="nil"/>
        </w:pBdr>
        <w:spacing w:line="275" w:lineRule="auto"/>
        <w:ind w:firstLine="720"/>
        <w:jc w:val="both"/>
        <w:rPr>
          <w:color w:val="080809"/>
          <w:szCs w:val="24"/>
          <w:highlight w:val="white"/>
          <w:lang w:eastAsia="lt-LT"/>
        </w:rPr>
      </w:pPr>
      <w:r>
        <w:rPr>
          <w:szCs w:val="24"/>
          <w:lang w:eastAsia="lt-LT"/>
        </w:rPr>
        <w:t>Svarbiausi metų įvykiai – pirmą kartą Neringoje sėkmingai bendradarbiaujant su 470 asociacija suorganizuotas Pasaulio kurčiųjų buriavimo čempionatas, pritraukęs dalyvių iš 13 šalių (</w:t>
      </w:r>
      <w:r>
        <w:rPr>
          <w:color w:val="080809"/>
          <w:szCs w:val="24"/>
          <w:highlight w:val="white"/>
          <w:lang w:eastAsia="lt-LT"/>
        </w:rPr>
        <w:t>Japonijos, JAV, Kanados, Brazilijos, Ukrainos, Lietuvos, Lenkijos, Prancūzijos, Danijos, Vokietijos, Turkijos, D. Britanijos). Tai pirmas kartas Lietuvos istorijoje.</w:t>
      </w:r>
    </w:p>
    <w:p w14:paraId="42D6560C" w14:textId="1E580518" w:rsidR="003060F1" w:rsidRDefault="00E02EFD">
      <w:pPr>
        <w:widowControl w:val="0"/>
        <w:pBdr>
          <w:top w:val="nil"/>
          <w:left w:val="nil"/>
          <w:bottom w:val="nil"/>
          <w:right w:val="nil"/>
          <w:between w:val="nil"/>
        </w:pBdr>
        <w:spacing w:line="275" w:lineRule="auto"/>
        <w:ind w:firstLine="720"/>
        <w:jc w:val="both"/>
        <w:rPr>
          <w:color w:val="080809"/>
          <w:szCs w:val="24"/>
          <w:highlight w:val="white"/>
          <w:lang w:eastAsia="lt-LT"/>
        </w:rPr>
      </w:pPr>
      <w:r>
        <w:rPr>
          <w:color w:val="080809"/>
          <w:szCs w:val="24"/>
          <w:highlight w:val="white"/>
          <w:lang w:eastAsia="lt-LT"/>
        </w:rPr>
        <w:t>Vienu metu vykstant Lietuvos buriavimo suaugusiųjų ir jaunimo bei jaunių buriavimo čempionatams, Pasaulio kurčiųjų čempionatui vienu metu Neringoje buriavimo daugiau nei 240</w:t>
      </w:r>
      <w:r w:rsidR="00BB2706">
        <w:rPr>
          <w:color w:val="080809"/>
          <w:szCs w:val="24"/>
          <w:highlight w:val="white"/>
          <w:lang w:eastAsia="lt-LT"/>
        </w:rPr>
        <w:t> </w:t>
      </w:r>
      <w:r>
        <w:rPr>
          <w:color w:val="080809"/>
          <w:szCs w:val="24"/>
          <w:highlight w:val="white"/>
          <w:lang w:eastAsia="lt-LT"/>
        </w:rPr>
        <w:t>buriuotojų.</w:t>
      </w:r>
    </w:p>
    <w:p w14:paraId="33AFF150" w14:textId="48E2F639" w:rsidR="003060F1" w:rsidRDefault="00E02EFD">
      <w:pPr>
        <w:widowControl w:val="0"/>
        <w:pBdr>
          <w:top w:val="nil"/>
          <w:left w:val="nil"/>
          <w:bottom w:val="nil"/>
          <w:right w:val="nil"/>
          <w:between w:val="nil"/>
        </w:pBdr>
        <w:spacing w:line="275" w:lineRule="auto"/>
        <w:ind w:firstLine="720"/>
        <w:jc w:val="both"/>
        <w:rPr>
          <w:color w:val="080809"/>
          <w:szCs w:val="24"/>
          <w:highlight w:val="white"/>
          <w:lang w:eastAsia="lt-LT"/>
        </w:rPr>
      </w:pPr>
      <w:r>
        <w:rPr>
          <w:color w:val="080809"/>
          <w:szCs w:val="24"/>
          <w:highlight w:val="white"/>
          <w:lang w:eastAsia="lt-LT"/>
        </w:rPr>
        <w:t>Juodkrantėje buvo pagerintos sąlygos jauniesiems buriuotojams, įrengtas specialiai jiems pritaikytas platus lieptas, kuris padės tiek treneriams, tiek pirmuosius buriavimo žingsnius žengiantiems saugiai pasiruošti buriavimui.</w:t>
      </w:r>
    </w:p>
    <w:p w14:paraId="7FC95390" w14:textId="77777777" w:rsidR="003060F1" w:rsidRDefault="00E02EFD">
      <w:pPr>
        <w:widowControl w:val="0"/>
        <w:pBdr>
          <w:top w:val="nil"/>
          <w:left w:val="nil"/>
          <w:bottom w:val="nil"/>
          <w:right w:val="nil"/>
          <w:between w:val="nil"/>
        </w:pBdr>
        <w:spacing w:line="275" w:lineRule="auto"/>
        <w:ind w:firstLine="720"/>
        <w:jc w:val="both"/>
        <w:rPr>
          <w:color w:val="080809"/>
          <w:szCs w:val="24"/>
          <w:highlight w:val="white"/>
          <w:lang w:eastAsia="lt-LT"/>
        </w:rPr>
      </w:pPr>
      <w:r>
        <w:rPr>
          <w:color w:val="080809"/>
          <w:szCs w:val="24"/>
          <w:highlight w:val="white"/>
          <w:lang w:eastAsia="lt-LT"/>
        </w:rPr>
        <w:t>Mokykla toliau plėtojo savanorystės programą. 2024 m. savanoriškas veiklas įgyvendino vaikai, jaunimas, suaugusieji.</w:t>
      </w:r>
    </w:p>
    <w:p w14:paraId="6997C2C8" w14:textId="70B586FB" w:rsidR="003060F1" w:rsidRDefault="00E02EFD">
      <w:pPr>
        <w:widowControl w:val="0"/>
        <w:spacing w:line="276" w:lineRule="auto"/>
        <w:ind w:firstLine="720"/>
        <w:jc w:val="both"/>
        <w:rPr>
          <w:color w:val="080809"/>
          <w:szCs w:val="24"/>
          <w:highlight w:val="white"/>
          <w:lang w:eastAsia="lt-LT"/>
        </w:rPr>
      </w:pPr>
      <w:r>
        <w:rPr>
          <w:color w:val="080809"/>
          <w:szCs w:val="24"/>
          <w:highlight w:val="white"/>
          <w:lang w:eastAsia="lt-LT"/>
        </w:rPr>
        <w:t xml:space="preserve">Neringos sporto mokyklos treneriai ir administracija 2024 m. tobulino kvalifikaciją įvairiuose mokymuose ir seminaruose, kurių metu įgijo praktinių žinių apie aerobinių ir anaerobinių savybių lavinimą, jų suderinimą bei vertinimo metodikas, susipažino su naujausiais moksliniais tyrimais, susipažino su praktiniais testavimo metodais, treniruočių technikomis, apie individualų sportininkų rengimą ir metodikas, naujausias varžybų tendencijas, pagrindinius sportinių traumų tipus, jų prevencijos būdus ir reabilitacijos metodus. Taip pat susipažino su moderniais traumų prevencijos būdais, analizavo praktinius atvejus ir aptarė efektyvias treniruočių korekcijas traumų rizikai mažinti. Kitų seminarų metu </w:t>
      </w:r>
      <w:r>
        <w:rPr>
          <w:color w:val="080809"/>
          <w:szCs w:val="24"/>
          <w:highlight w:val="white"/>
          <w:lang w:eastAsia="lt-LT"/>
        </w:rPr>
        <w:lastRenderedPageBreak/>
        <w:t>nagrinėtos lyčių lygybės problemos sporte, aptarti praktiniai pavyzdžiai ir įgyvendinamos iniciatyvos lygių galimybių užtikrinimui, civilinės saugos aktualijos. Treneriai išklausė ekspertų patarimų, analizavo atvejų studijas ir diskutavo apie individualių sportininkų gydymo strategijas. Išbandytos įvairios kvalifikacijos kėlimo formos, tokios kaip „Kolega – kolegai”, individualios konsultacijos, praktinės dirbtuvės, kuriose išbandyti inovatyvūs mokymo metodai. Nuolat skiriamas dėmesys emociniam intelektui gerinti, aptarti efektyvūs metodai, kaip jį lavinti, metodai empatijai ugdyti ir praktiniai būdai. Darbuotojams organizuotos edukacinės pažintinės išvykos. Sudarytos sąlygos mokytis didžiausioje mokymų platformoje.</w:t>
      </w:r>
    </w:p>
    <w:p w14:paraId="7E185C14" w14:textId="668A8806"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Kartu su maždaug 40 partnerių (2023 m. – apie 26) įgyvendinome platų renginių spektrą (iš viso 243 veiklos), kuriuose dalyvavo per 5200 žmonių. Tarp jų – tęstinis ir bendruomenės pamėgtas orientavimosi žaidimas „Atrask Kuršių neriją – laimėk „Škoda“ prizus“, tarptautinės orientavimosi varžybos „Nida – 3 dienos“ (dalyvių skaičius išaugo nuo &gt; 197 2023 m. iki &gt; 250 2024 m.), 12</w:t>
      </w:r>
      <w:r w:rsidR="00BB2706">
        <w:rPr>
          <w:szCs w:val="24"/>
          <w:lang w:eastAsia="lt-LT"/>
        </w:rPr>
        <w:t> </w:t>
      </w:r>
      <w:r>
        <w:rPr>
          <w:szCs w:val="24"/>
          <w:lang w:eastAsia="lt-LT"/>
        </w:rPr>
        <w:t>„Buriavimo visiems“ stovyklų pradedantiesiems Nidoje ir Juodkrantėje (2023 m. – 7 stovyklos), pradėta nauja veikla suaugusiesiems – mokymas buriuoti „</w:t>
      </w:r>
      <w:proofErr w:type="spellStart"/>
      <w:r>
        <w:rPr>
          <w:szCs w:val="24"/>
          <w:lang w:eastAsia="lt-LT"/>
        </w:rPr>
        <w:t>Bahia</w:t>
      </w:r>
      <w:proofErr w:type="spellEnd"/>
      <w:r>
        <w:rPr>
          <w:szCs w:val="24"/>
          <w:lang w:eastAsia="lt-LT"/>
        </w:rPr>
        <w:t>“ jachta. Integruodami naujausias technologijas sukūrėme įtraukiančią mokymo aplinką, skirtą pristatyti buriavimo sportą. 7 vasaros akademijos stovyklos (daugiau kaip 150 dalyvių, panašiai kaip 2023 m.), aktyvus dalyvavimas miesto šventėse („</w:t>
      </w:r>
      <w:proofErr w:type="spellStart"/>
      <w:r>
        <w:rPr>
          <w:szCs w:val="24"/>
          <w:lang w:eastAsia="lt-LT"/>
        </w:rPr>
        <w:t>Stintapūkis</w:t>
      </w:r>
      <w:proofErr w:type="spellEnd"/>
      <w:r>
        <w:rPr>
          <w:szCs w:val="24"/>
          <w:lang w:eastAsia="lt-LT"/>
        </w:rPr>
        <w:t>“, „Žiobrinės“, „Nidos smuklė“) bei 9 specialūs renginiai bendruomenei ne sezono metu (tęstinė veikla).</w:t>
      </w:r>
    </w:p>
    <w:p w14:paraId="07915AEA" w14:textId="32AFCC6E"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Reikšmingas dėmesys skirtas ugdymo sąlygoms pagerinti: įsigytos 4 naujos „</w:t>
      </w:r>
      <w:proofErr w:type="spellStart"/>
      <w:r>
        <w:rPr>
          <w:szCs w:val="24"/>
          <w:lang w:eastAsia="lt-LT"/>
        </w:rPr>
        <w:t>Optimist</w:t>
      </w:r>
      <w:proofErr w:type="spellEnd"/>
      <w:r>
        <w:rPr>
          <w:szCs w:val="24"/>
          <w:lang w:eastAsia="lt-LT"/>
        </w:rPr>
        <w:t>“ jachtos, 3 </w:t>
      </w:r>
      <w:proofErr w:type="spellStart"/>
      <w:r>
        <w:rPr>
          <w:szCs w:val="24"/>
          <w:lang w:eastAsia="lt-LT"/>
        </w:rPr>
        <w:t>vėjasparnių</w:t>
      </w:r>
      <w:proofErr w:type="spellEnd"/>
      <w:r>
        <w:rPr>
          <w:szCs w:val="24"/>
          <w:lang w:eastAsia="lt-LT"/>
        </w:rPr>
        <w:t xml:space="preserve"> komplektai, moderni orientavimosi sporto įranga bei virtualios realybės (VR) akiniai (VR įranga pradėta naudoti 2023 m.). Atnaujinta fizinio aktyvumo erdvė Mokykloje, įrengta funkcinių treniruočių erdvė Kuršių nerijos nacionalinio parko Lankytojų centre, įrengtas jachtų tiltelis Juodkrantėje.</w:t>
      </w:r>
    </w:p>
    <w:p w14:paraId="6E5968FE" w14:textId="62FC7710"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2024 m. atnaujintas orientavimosi sporto parkas Pervalkoje. Taip pat atnaujintos Nidos ir Juodkrantės orientavimosi trasos, jos buvo pritaikytos lankytis ir tamsiuoju paros metu, nes turi šviesą atspindinčių elementų.</w:t>
      </w:r>
    </w:p>
    <w:p w14:paraId="771DDBFF" w14:textId="6DA0888F"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 xml:space="preserve">Įgyvendinant </w:t>
      </w:r>
      <w:proofErr w:type="spellStart"/>
      <w:r>
        <w:rPr>
          <w:szCs w:val="24"/>
          <w:lang w:eastAsia="lt-LT"/>
        </w:rPr>
        <w:t>skaitmenizacijos</w:t>
      </w:r>
      <w:proofErr w:type="spellEnd"/>
      <w:r>
        <w:rPr>
          <w:szCs w:val="24"/>
          <w:lang w:eastAsia="lt-LT"/>
        </w:rPr>
        <w:t xml:space="preserve"> tikslus, išbandytos VR veiklos ugdymo procese, įdiegta virtuali mokymo aplinka ir parengtas skaitmeninės sporto ekosistemos aprašas. Mokyklos veikla ir pasiekimai aktyviai viešinti socialiniuose tinkluose, naujienos pasiekė daugiau nei 200 tūkst. peržiūrų auditoriją (panašus pasiekiamumas kaip 2023 m.).</w:t>
      </w:r>
    </w:p>
    <w:p w14:paraId="090EC758" w14:textId="01003D73" w:rsidR="003060F1" w:rsidRDefault="00E02EFD">
      <w:pPr>
        <w:widowControl w:val="0"/>
        <w:pBdr>
          <w:top w:val="nil"/>
          <w:left w:val="nil"/>
          <w:bottom w:val="nil"/>
          <w:right w:val="nil"/>
          <w:between w:val="nil"/>
        </w:pBdr>
        <w:spacing w:line="275" w:lineRule="auto"/>
        <w:ind w:firstLine="720"/>
        <w:jc w:val="both"/>
        <w:rPr>
          <w:sz w:val="18"/>
          <w:szCs w:val="18"/>
          <w:lang w:eastAsia="lt-LT"/>
        </w:rPr>
      </w:pPr>
      <w:r>
        <w:rPr>
          <w:szCs w:val="24"/>
          <w:lang w:eastAsia="lt-LT"/>
        </w:rPr>
        <w:t>Strateginiame plane ir veikloje identifikuoti iššūkiai (pvz., poreikis papildomoms uždaroms erdvėms šaltuoju sezonu, mokinių motyvacijos palaikymas, finansavimo pritraukimas) sprendžiami kuriant ir populiarinant fizinio aktyvumo veiklas Neringoje, taip efektyvinant ir tobulinant procesus, surandant naujų veiklos partnerių, taikant populiarinimo strategijas, sėkmingai įgyvendinant Visuomenės sveikatos rėmimo programos finansuotą projektą „Būk fiziškai aktyvus“. Per 2024 m. mokyklos pajamų įmokos – 108 617,44 Eur (19 proc. daugiau nei 2023 m.)</w:t>
      </w:r>
    </w:p>
    <w:p w14:paraId="4A71B4F0" w14:textId="0142048D" w:rsidR="003060F1" w:rsidRDefault="00E02EFD">
      <w:pPr>
        <w:widowControl w:val="0"/>
        <w:pBdr>
          <w:top w:val="nil"/>
          <w:left w:val="nil"/>
          <w:bottom w:val="nil"/>
          <w:right w:val="nil"/>
          <w:between w:val="nil"/>
        </w:pBdr>
        <w:spacing w:line="275" w:lineRule="auto"/>
        <w:ind w:firstLine="720"/>
        <w:jc w:val="both"/>
        <w:rPr>
          <w:szCs w:val="24"/>
          <w:lang w:eastAsia="lt-LT"/>
        </w:rPr>
      </w:pPr>
      <w:r>
        <w:rPr>
          <w:szCs w:val="24"/>
          <w:lang w:eastAsia="lt-LT"/>
        </w:rPr>
        <w:t xml:space="preserve">Esame įsipareigoję tęsti strateginiame plane numatytus darbus, toliau stiprinti Mokyklos veiklą, didinti ugdymo įvairovę, </w:t>
      </w:r>
      <w:proofErr w:type="spellStart"/>
      <w:r>
        <w:rPr>
          <w:szCs w:val="24"/>
          <w:lang w:eastAsia="lt-LT"/>
        </w:rPr>
        <w:t>įtrauktį</w:t>
      </w:r>
      <w:proofErr w:type="spellEnd"/>
      <w:r>
        <w:rPr>
          <w:szCs w:val="24"/>
          <w:lang w:eastAsia="lt-LT"/>
        </w:rPr>
        <w:t xml:space="preserve"> ir gerinti sąlygas sportuoti Neringoje.</w:t>
      </w:r>
    </w:p>
    <w:p w14:paraId="07373D7F" w14:textId="77777777" w:rsidR="003060F1" w:rsidRDefault="003060F1">
      <w:pPr>
        <w:widowControl w:val="0"/>
        <w:pBdr>
          <w:top w:val="nil"/>
          <w:left w:val="nil"/>
          <w:bottom w:val="nil"/>
          <w:right w:val="nil"/>
          <w:between w:val="nil"/>
        </w:pBdr>
        <w:spacing w:line="275" w:lineRule="auto"/>
        <w:jc w:val="both"/>
        <w:rPr>
          <w:szCs w:val="24"/>
          <w:lang w:eastAsia="lt-LT"/>
        </w:rPr>
      </w:pPr>
    </w:p>
    <w:p w14:paraId="560F5E07" w14:textId="5221D764" w:rsidR="003060F1" w:rsidRDefault="00E02EFD">
      <w:pPr>
        <w:widowControl w:val="0"/>
        <w:pBdr>
          <w:top w:val="nil"/>
          <w:left w:val="nil"/>
          <w:bottom w:val="nil"/>
          <w:right w:val="nil"/>
          <w:between w:val="nil"/>
        </w:pBdr>
        <w:spacing w:line="275" w:lineRule="auto"/>
        <w:jc w:val="center"/>
        <w:rPr>
          <w:b/>
          <w:bCs/>
          <w:szCs w:val="24"/>
          <w:lang w:eastAsia="lt-LT"/>
        </w:rPr>
      </w:pPr>
      <w:r>
        <w:rPr>
          <w:b/>
          <w:bCs/>
          <w:szCs w:val="24"/>
          <w:lang w:eastAsia="lt-LT"/>
        </w:rPr>
        <w:t>II SKYRIUS</w:t>
      </w:r>
    </w:p>
    <w:p w14:paraId="6D3EF099" w14:textId="4CE2EB23" w:rsidR="003060F1" w:rsidRDefault="00E02EFD">
      <w:pPr>
        <w:widowControl w:val="0"/>
        <w:pBdr>
          <w:top w:val="nil"/>
          <w:left w:val="nil"/>
          <w:bottom w:val="nil"/>
          <w:right w:val="nil"/>
          <w:between w:val="nil"/>
        </w:pBdr>
        <w:spacing w:line="275" w:lineRule="auto"/>
        <w:jc w:val="center"/>
        <w:rPr>
          <w:b/>
          <w:bCs/>
          <w:szCs w:val="24"/>
          <w:lang w:eastAsia="lt-LT"/>
        </w:rPr>
      </w:pPr>
      <w:r>
        <w:rPr>
          <w:b/>
          <w:bCs/>
          <w:szCs w:val="24"/>
          <w:lang w:eastAsia="lt-LT"/>
        </w:rPr>
        <w:t>INFORMACIJA APIE VEIKLOS TIKSLŲ ĮGYVENDINIMĄ</w:t>
      </w:r>
    </w:p>
    <w:p w14:paraId="7AAAA8FA" w14:textId="77777777" w:rsidR="003060F1" w:rsidRDefault="003060F1">
      <w:pPr>
        <w:widowControl w:val="0"/>
        <w:pBdr>
          <w:top w:val="nil"/>
          <w:left w:val="nil"/>
          <w:bottom w:val="nil"/>
          <w:right w:val="nil"/>
          <w:between w:val="nil"/>
        </w:pBdr>
        <w:spacing w:line="275" w:lineRule="auto"/>
        <w:jc w:val="center"/>
        <w:rPr>
          <w:b/>
          <w:bCs/>
          <w:szCs w:val="24"/>
          <w:lang w:eastAsia="lt-LT"/>
        </w:rPr>
      </w:pPr>
    </w:p>
    <w:p w14:paraId="22A11804" w14:textId="1C4186E6" w:rsidR="003060F1" w:rsidRDefault="00E02EFD">
      <w:pPr>
        <w:widowControl w:val="0"/>
        <w:pBdr>
          <w:top w:val="nil"/>
          <w:left w:val="nil"/>
          <w:bottom w:val="nil"/>
          <w:right w:val="nil"/>
          <w:between w:val="nil"/>
        </w:pBdr>
        <w:spacing w:line="275" w:lineRule="auto"/>
        <w:jc w:val="both"/>
        <w:rPr>
          <w:b/>
          <w:szCs w:val="24"/>
          <w:lang w:eastAsia="lt-LT"/>
        </w:rPr>
      </w:pPr>
      <w:r>
        <w:rPr>
          <w:b/>
          <w:szCs w:val="24"/>
          <w:lang w:eastAsia="lt-LT"/>
        </w:rPr>
        <w:t xml:space="preserve">1 Išsikelti ataskaitinio laikotarpio veiklos tikslai ir uždaviniai, svarbiausi atlikti darbai ir </w:t>
      </w:r>
      <w:r>
        <w:rPr>
          <w:b/>
          <w:szCs w:val="24"/>
          <w:lang w:eastAsia="lt-LT"/>
        </w:rPr>
        <w:lastRenderedPageBreak/>
        <w:t>panaudotos lėšos</w:t>
      </w:r>
    </w:p>
    <w:p w14:paraId="192323CD" w14:textId="59DA60AC" w:rsidR="003060F1" w:rsidRDefault="00E02EFD">
      <w:pPr>
        <w:widowControl w:val="0"/>
        <w:pBdr>
          <w:top w:val="nil"/>
          <w:left w:val="nil"/>
          <w:bottom w:val="nil"/>
          <w:right w:val="nil"/>
          <w:between w:val="nil"/>
        </w:pBdr>
        <w:spacing w:line="275" w:lineRule="auto"/>
        <w:jc w:val="both"/>
        <w:rPr>
          <w:szCs w:val="24"/>
          <w:lang w:eastAsia="lt-LT"/>
        </w:rPr>
      </w:pPr>
      <w:r>
        <w:rPr>
          <w:szCs w:val="24"/>
          <w:lang w:eastAsia="lt-LT"/>
        </w:rPr>
        <w:t>Ataskaitiniu 2024 metų laikotarpiu Neringos sporto mokykla įgyvendino Neringos sporto mokyklos 2024–2026 m. strateginiame plane numatytus tikslus ir uždavinius.</w:t>
      </w:r>
    </w:p>
    <w:p w14:paraId="74213AD9" w14:textId="46302A63"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Strateginis tikslas Nr. 1: Plėtoti buriavimo ir orientavimosi sporto ugdymo ir fizinio aktyvumo programas ir veiklas.</w:t>
      </w:r>
      <w:r>
        <w:rPr>
          <w:szCs w:val="24"/>
          <w:lang w:eastAsia="lt-LT"/>
        </w:rPr>
        <w:t xml:space="preserve"> (Strateginio plano tikslas Nr. 1)</w:t>
      </w:r>
    </w:p>
    <w:p w14:paraId="39DB8CB2" w14:textId="1E809711" w:rsidR="003060F1" w:rsidRDefault="00E02EFD">
      <w:pPr>
        <w:widowControl w:val="0"/>
        <w:pBdr>
          <w:top w:val="nil"/>
          <w:left w:val="nil"/>
          <w:bottom w:val="nil"/>
          <w:right w:val="nil"/>
          <w:between w:val="nil"/>
        </w:pBdr>
        <w:spacing w:line="275" w:lineRule="auto"/>
        <w:ind w:left="12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Uždavinys 1.1. Stiprinti suasmenintą ir diferencijuotą mokymą ir pagalbą mokiniui.</w:t>
      </w:r>
      <w:r>
        <w:rPr>
          <w:szCs w:val="24"/>
          <w:lang w:eastAsia="lt-LT"/>
        </w:rPr>
        <w:t xml:space="preserve"> (Strateginio plano uždavinys 1.1)</w:t>
      </w:r>
    </w:p>
    <w:p w14:paraId="36B157DD" w14:textId="537A8657" w:rsidR="003060F1" w:rsidRDefault="00E02EFD">
      <w:pPr>
        <w:widowControl w:val="0"/>
        <w:pBdr>
          <w:top w:val="nil"/>
          <w:left w:val="nil"/>
          <w:bottom w:val="nil"/>
          <w:right w:val="nil"/>
          <w:between w:val="nil"/>
        </w:pBdr>
        <w:spacing w:line="275" w:lineRule="auto"/>
        <w:ind w:left="18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Svarbiausi atlikti darbai:</w:t>
      </w:r>
    </w:p>
    <w:p w14:paraId="4C8492E6" w14:textId="1185C245" w:rsidR="003060F1" w:rsidRDefault="00E02EFD" w:rsidP="00E93985">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Įsigytas naujas sporto inventorius: 4 „</w:t>
      </w:r>
      <w:proofErr w:type="spellStart"/>
      <w:r>
        <w:rPr>
          <w:szCs w:val="24"/>
          <w:lang w:eastAsia="lt-LT"/>
        </w:rPr>
        <w:t>Optimist</w:t>
      </w:r>
      <w:proofErr w:type="spellEnd"/>
      <w:r>
        <w:rPr>
          <w:szCs w:val="24"/>
          <w:lang w:eastAsia="lt-LT"/>
        </w:rPr>
        <w:t>“ jachtos, 3 „</w:t>
      </w:r>
      <w:proofErr w:type="spellStart"/>
      <w:r>
        <w:rPr>
          <w:szCs w:val="24"/>
          <w:lang w:eastAsia="lt-LT"/>
        </w:rPr>
        <w:t>Wing-foil</w:t>
      </w:r>
      <w:proofErr w:type="spellEnd"/>
      <w:r>
        <w:rPr>
          <w:szCs w:val="24"/>
          <w:lang w:eastAsia="lt-LT"/>
        </w:rPr>
        <w:t>“ rinkiniai, naujausios kartos orientavimosi sporto inventorius, VR akiniai, treniruokliai ir kt.</w:t>
      </w:r>
    </w:p>
    <w:p w14:paraId="150464B0" w14:textId="0CFD02E7" w:rsidR="003060F1" w:rsidRDefault="00E02EFD" w:rsidP="00E93985">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Organizuota 10 darbuotojų kvalifikacijos kėlimo mokymų, seminarų, dirbtuvių, edukacinių išvykų įvairiomis temomis (aerobinių</w:t>
      </w:r>
      <w:r w:rsidR="00E93985">
        <w:rPr>
          <w:szCs w:val="24"/>
          <w:lang w:eastAsia="lt-LT"/>
        </w:rPr>
        <w:t xml:space="preserve"> </w:t>
      </w:r>
      <w:r>
        <w:rPr>
          <w:szCs w:val="24"/>
          <w:lang w:eastAsia="lt-LT"/>
        </w:rPr>
        <w:t>/</w:t>
      </w:r>
      <w:r w:rsidR="00E93985">
        <w:rPr>
          <w:szCs w:val="24"/>
          <w:lang w:eastAsia="lt-LT"/>
        </w:rPr>
        <w:t xml:space="preserve"> </w:t>
      </w:r>
      <w:r>
        <w:rPr>
          <w:szCs w:val="24"/>
          <w:lang w:eastAsia="lt-LT"/>
        </w:rPr>
        <w:t>anaerobinių savybių lavinimas, testavimas, individualus rengimas, traumų prevencija</w:t>
      </w:r>
      <w:r w:rsidR="00E93985">
        <w:rPr>
          <w:szCs w:val="24"/>
          <w:lang w:eastAsia="lt-LT"/>
        </w:rPr>
        <w:t xml:space="preserve"> </w:t>
      </w:r>
      <w:r>
        <w:rPr>
          <w:szCs w:val="24"/>
          <w:lang w:eastAsia="lt-LT"/>
        </w:rPr>
        <w:t>/</w:t>
      </w:r>
      <w:r w:rsidR="00E93985">
        <w:rPr>
          <w:szCs w:val="24"/>
          <w:lang w:eastAsia="lt-LT"/>
        </w:rPr>
        <w:t xml:space="preserve"> </w:t>
      </w:r>
      <w:r>
        <w:rPr>
          <w:szCs w:val="24"/>
          <w:lang w:eastAsia="lt-LT"/>
        </w:rPr>
        <w:t>reabilitacija, lyčių lygybė, civilinė sauga, emocinis intelektas), taikytos įvairios formos („Kolega – kolegai“).</w:t>
      </w:r>
    </w:p>
    <w:p w14:paraId="64977353" w14:textId="49BE55F0" w:rsidR="003060F1" w:rsidRDefault="00E02EFD" w:rsidP="00E93985">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Vykdytos 7 skirtingos ugdymo programos, pritaikytos įvairioms amžiaus grupėms (111 mokinių, 31 suaugusysis).</w:t>
      </w:r>
    </w:p>
    <w:p w14:paraId="21302A9E" w14:textId="7DE002EF" w:rsidR="003060F1" w:rsidRDefault="00E02EFD" w:rsidP="00E93985">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Užtikrintas mokinių dalyvavimas 243 veiklose ir varžybose, pasiektos 52</w:t>
      </w:r>
      <w:r w:rsidR="00E93985">
        <w:rPr>
          <w:szCs w:val="24"/>
          <w:lang w:eastAsia="lt-LT"/>
        </w:rPr>
        <w:t> </w:t>
      </w:r>
      <w:r>
        <w:rPr>
          <w:szCs w:val="24"/>
          <w:lang w:eastAsia="lt-LT"/>
        </w:rPr>
        <w:t>prizinės (1–4) vietos.</w:t>
      </w:r>
    </w:p>
    <w:p w14:paraId="4FDFC5B7" w14:textId="50D3907F" w:rsidR="003060F1" w:rsidRDefault="00E02EFD" w:rsidP="00E93985">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Bendradarbiauta su asociacijomis, rengtos bendros stovyklos (pvz., su LBS, „</w:t>
      </w:r>
      <w:proofErr w:type="spellStart"/>
      <w:r>
        <w:rPr>
          <w:szCs w:val="24"/>
          <w:lang w:eastAsia="lt-LT"/>
        </w:rPr>
        <w:t>Optimist</w:t>
      </w:r>
      <w:proofErr w:type="spellEnd"/>
      <w:r>
        <w:rPr>
          <w:szCs w:val="24"/>
          <w:lang w:eastAsia="lt-LT"/>
        </w:rPr>
        <w:t>“, „</w:t>
      </w:r>
      <w:proofErr w:type="spellStart"/>
      <w:r>
        <w:rPr>
          <w:szCs w:val="24"/>
          <w:lang w:eastAsia="lt-LT"/>
        </w:rPr>
        <w:t>Laser</w:t>
      </w:r>
      <w:proofErr w:type="spellEnd"/>
      <w:r>
        <w:rPr>
          <w:szCs w:val="24"/>
          <w:lang w:eastAsia="lt-LT"/>
        </w:rPr>
        <w:t xml:space="preserve">“, „RS </w:t>
      </w:r>
      <w:proofErr w:type="spellStart"/>
      <w:r>
        <w:rPr>
          <w:szCs w:val="24"/>
          <w:lang w:eastAsia="lt-LT"/>
        </w:rPr>
        <w:t>Feva</w:t>
      </w:r>
      <w:proofErr w:type="spellEnd"/>
      <w:r>
        <w:rPr>
          <w:szCs w:val="24"/>
          <w:lang w:eastAsia="lt-LT"/>
        </w:rPr>
        <w:t>“, 470 asociacija), dalyvauta tarptautinėse varžybose (Estija, Suomija).</w:t>
      </w:r>
    </w:p>
    <w:p w14:paraId="56B0E0E9" w14:textId="00156BC2" w:rsidR="003060F1" w:rsidRDefault="00E02EFD">
      <w:pPr>
        <w:widowControl w:val="0"/>
        <w:pBdr>
          <w:top w:val="nil"/>
          <w:left w:val="nil"/>
          <w:bottom w:val="nil"/>
          <w:right w:val="nil"/>
          <w:between w:val="nil"/>
        </w:pBdr>
        <w:spacing w:line="275" w:lineRule="auto"/>
        <w:ind w:left="12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Uždavinys 1.2. Atnaujinti mokyklos pastatą, interjerą ir edukacines erdves.</w:t>
      </w:r>
      <w:r>
        <w:rPr>
          <w:szCs w:val="24"/>
          <w:lang w:eastAsia="lt-LT"/>
        </w:rPr>
        <w:t xml:space="preserve"> </w:t>
      </w:r>
    </w:p>
    <w:p w14:paraId="5AB125E8" w14:textId="2CF64DDA" w:rsidR="003060F1" w:rsidRDefault="00E02EFD">
      <w:pPr>
        <w:widowControl w:val="0"/>
        <w:pBdr>
          <w:top w:val="nil"/>
          <w:left w:val="nil"/>
          <w:bottom w:val="nil"/>
          <w:right w:val="nil"/>
          <w:between w:val="nil"/>
        </w:pBdr>
        <w:spacing w:line="275" w:lineRule="auto"/>
        <w:ind w:left="18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Svarbiausi atlikti darbai:</w:t>
      </w:r>
    </w:p>
    <w:p w14:paraId="59081843" w14:textId="12178FDA"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Atnaujinta fizinio aktyvumo erdvė Mokykloje, įrengta funkcinių treniruočių erdvė Kuršių nerijos nacionalinio parko Lankytojų centre Juodkrantėje, įrengtas jachtų tiltelis Juodkrantėje.</w:t>
      </w:r>
    </w:p>
    <w:p w14:paraId="26979A28" w14:textId="41A2800F"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Nepatvirtinus lėšų pastato stogo atnaujinimo darbams, jis atidėtas nenurodytam laikotarpiui. Atnaujinant stogą buvo planuojama kartu įrengti sniego gaudykles, saulės elektrinę ir sumažinti išlaidas šildymui, elektrai bei gerinti pastato energetinį efektyvumą.</w:t>
      </w:r>
    </w:p>
    <w:p w14:paraId="2101C5E0" w14:textId="07256BBA"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Strateginis tikslas Nr. 2: Plėtoti skaitmeninę planavimo ir mokymosi platformą.</w:t>
      </w:r>
      <w:r>
        <w:rPr>
          <w:szCs w:val="24"/>
          <w:lang w:eastAsia="lt-LT"/>
        </w:rPr>
        <w:t xml:space="preserve"> (Strateginio plano tikslas Nr. 2)</w:t>
      </w:r>
    </w:p>
    <w:p w14:paraId="5C10F7F1" w14:textId="4F944B9B" w:rsidR="003060F1" w:rsidRDefault="00E02EFD">
      <w:pPr>
        <w:widowControl w:val="0"/>
        <w:pBdr>
          <w:top w:val="nil"/>
          <w:left w:val="nil"/>
          <w:bottom w:val="nil"/>
          <w:right w:val="nil"/>
          <w:between w:val="nil"/>
        </w:pBdr>
        <w:spacing w:line="275" w:lineRule="auto"/>
        <w:ind w:left="12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Uždavinys 2.1. Pasitelkiant skaitmenines technologijas įgyvendinama efektyvios planavimo, skatinimo ir pripažinimo sistemos skirtos sportuojančiųjų grupėms.</w:t>
      </w:r>
      <w:r>
        <w:rPr>
          <w:szCs w:val="24"/>
          <w:lang w:eastAsia="lt-LT"/>
        </w:rPr>
        <w:t xml:space="preserve"> (Strateginio plano uždavinys 2.1)</w:t>
      </w:r>
    </w:p>
    <w:p w14:paraId="1204C307" w14:textId="42B25C86" w:rsidR="003060F1" w:rsidRDefault="00E02EFD">
      <w:pPr>
        <w:widowControl w:val="0"/>
        <w:pBdr>
          <w:top w:val="nil"/>
          <w:left w:val="nil"/>
          <w:bottom w:val="nil"/>
          <w:right w:val="nil"/>
          <w:between w:val="nil"/>
        </w:pBdr>
        <w:spacing w:line="275" w:lineRule="auto"/>
        <w:ind w:left="18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Svarbiausi atlikti darbai:</w:t>
      </w:r>
    </w:p>
    <w:p w14:paraId="5BBA9B4A" w14:textId="0F477078"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Išbandytos VR buriavimo ir fizinio aktyvumo veiklos, įsigyti VR akiniai.</w:t>
      </w:r>
    </w:p>
    <w:p w14:paraId="20E4451E" w14:textId="6003DD23"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Įdiegta virtuali mokymo aplinka, parinktas mokymo modelis, struktūruotas vertinimo procesas.</w:t>
      </w:r>
    </w:p>
    <w:p w14:paraId="703C6491" w14:textId="1680A342"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Parengtas Neringos sporto mokyklos skaitmeninės sporto ekosistemos aprašas (integruojant VR, DI, inovacijas).</w:t>
      </w:r>
    </w:p>
    <w:p w14:paraId="57EAF241" w14:textId="63D2512A"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lastRenderedPageBreak/>
        <w:t>■</w:t>
      </w:r>
      <w:r>
        <w:rPr>
          <w:rFonts w:ascii="Arial" w:eastAsia="Arial" w:hAnsi="Arial" w:cs="Arial"/>
          <w:color w:val="000000"/>
          <w:sz w:val="22"/>
          <w:szCs w:val="22"/>
          <w:lang w:eastAsia="lt-LT"/>
        </w:rPr>
        <w:tab/>
      </w:r>
      <w:r>
        <w:rPr>
          <w:szCs w:val="24"/>
          <w:lang w:eastAsia="lt-LT"/>
        </w:rPr>
        <w:t xml:space="preserve">Įdiegti virtualūs ištekliai buriavimo sporto pristatymui ir įgūdžių įsisavinimui (VR </w:t>
      </w:r>
      <w:proofErr w:type="spellStart"/>
      <w:r>
        <w:rPr>
          <w:szCs w:val="24"/>
          <w:lang w:eastAsia="lt-LT"/>
        </w:rPr>
        <w:t>simuliatorius</w:t>
      </w:r>
      <w:proofErr w:type="spellEnd"/>
      <w:r>
        <w:rPr>
          <w:szCs w:val="24"/>
          <w:lang w:eastAsia="lt-LT"/>
        </w:rPr>
        <w:t>).</w:t>
      </w:r>
    </w:p>
    <w:p w14:paraId="6B5C90E3" w14:textId="5350F4F6"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Aktyviai vykdyta komunikacija socialiniuose tinkluose (daugiau kaip 200 tūkst. peržiūrų).</w:t>
      </w:r>
    </w:p>
    <w:p w14:paraId="08EF5A0F" w14:textId="77777777" w:rsidR="003060F1" w:rsidRDefault="003060F1">
      <w:pPr>
        <w:widowControl w:val="0"/>
        <w:pBdr>
          <w:top w:val="nil"/>
          <w:left w:val="nil"/>
          <w:bottom w:val="nil"/>
          <w:right w:val="nil"/>
          <w:between w:val="nil"/>
        </w:pBdr>
        <w:spacing w:line="275" w:lineRule="auto"/>
        <w:ind w:left="2400"/>
        <w:jc w:val="both"/>
        <w:rPr>
          <w:szCs w:val="24"/>
          <w:lang w:eastAsia="lt-LT"/>
        </w:rPr>
      </w:pPr>
    </w:p>
    <w:p w14:paraId="592F362C" w14:textId="18BE3055"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 xml:space="preserve">Strateginis tikslas Nr. 3: Skatinti fizinį aktyvumą, tvarumą, </w:t>
      </w:r>
      <w:proofErr w:type="spellStart"/>
      <w:r>
        <w:rPr>
          <w:b/>
          <w:szCs w:val="24"/>
          <w:lang w:eastAsia="lt-LT"/>
        </w:rPr>
        <w:t>įtrauktį</w:t>
      </w:r>
      <w:proofErr w:type="spellEnd"/>
      <w:r>
        <w:rPr>
          <w:b/>
          <w:szCs w:val="24"/>
          <w:lang w:eastAsia="lt-LT"/>
        </w:rPr>
        <w:t xml:space="preserve"> ir bendruomenės dalyvavimą.</w:t>
      </w:r>
      <w:r>
        <w:rPr>
          <w:szCs w:val="24"/>
          <w:lang w:eastAsia="lt-LT"/>
        </w:rPr>
        <w:t xml:space="preserve"> (Strateginio plano tikslas Nr. 3)</w:t>
      </w:r>
    </w:p>
    <w:p w14:paraId="033E0A6F" w14:textId="2C281519" w:rsidR="003060F1" w:rsidRDefault="00E02EFD">
      <w:pPr>
        <w:widowControl w:val="0"/>
        <w:pBdr>
          <w:top w:val="nil"/>
          <w:left w:val="nil"/>
          <w:bottom w:val="nil"/>
          <w:right w:val="nil"/>
          <w:between w:val="nil"/>
        </w:pBdr>
        <w:spacing w:line="275" w:lineRule="auto"/>
        <w:ind w:left="12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Uždavinys 3.1. Šių principų laikymasis užtikrina atsakingą veiklą ir sukuria draugišką, tvarią aplinką.</w:t>
      </w:r>
      <w:r>
        <w:rPr>
          <w:szCs w:val="24"/>
          <w:lang w:eastAsia="lt-LT"/>
        </w:rPr>
        <w:t xml:space="preserve"> (Strateginio plano uždavinys 3.1)</w:t>
      </w:r>
    </w:p>
    <w:p w14:paraId="7E22ECA2" w14:textId="79C8EC8F" w:rsidR="003060F1" w:rsidRDefault="00E02EFD">
      <w:pPr>
        <w:widowControl w:val="0"/>
        <w:pBdr>
          <w:top w:val="nil"/>
          <w:left w:val="nil"/>
          <w:bottom w:val="nil"/>
          <w:right w:val="nil"/>
          <w:between w:val="nil"/>
        </w:pBdr>
        <w:spacing w:line="275" w:lineRule="auto"/>
        <w:ind w:left="18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Svarbiausi atlikti darbai:</w:t>
      </w:r>
    </w:p>
    <w:p w14:paraId="1CDCF86B" w14:textId="0AA6DEC8"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Suorganizuoti 243 renginiai</w:t>
      </w:r>
      <w:r w:rsidR="00E93985">
        <w:rPr>
          <w:szCs w:val="24"/>
          <w:lang w:eastAsia="lt-LT"/>
        </w:rPr>
        <w:t xml:space="preserve"> </w:t>
      </w:r>
      <w:r>
        <w:rPr>
          <w:szCs w:val="24"/>
          <w:lang w:eastAsia="lt-LT"/>
        </w:rPr>
        <w:t>/</w:t>
      </w:r>
      <w:r w:rsidR="00E93985">
        <w:rPr>
          <w:szCs w:val="24"/>
          <w:lang w:eastAsia="lt-LT"/>
        </w:rPr>
        <w:t xml:space="preserve"> </w:t>
      </w:r>
      <w:r>
        <w:rPr>
          <w:szCs w:val="24"/>
          <w:lang w:eastAsia="lt-LT"/>
        </w:rPr>
        <w:t>veiklos (56 unikalūs), įskaitant stovyklas (12</w:t>
      </w:r>
      <w:r w:rsidR="00E93985">
        <w:rPr>
          <w:szCs w:val="24"/>
          <w:lang w:eastAsia="lt-LT"/>
        </w:rPr>
        <w:t> </w:t>
      </w:r>
      <w:r>
        <w:rPr>
          <w:szCs w:val="24"/>
          <w:lang w:eastAsia="lt-LT"/>
        </w:rPr>
        <w:t>„Buriavimas visiems“, 7 Vasaros akademijos), varžybos, bendruomenės renginius (9 ne sezono metu, dalyvavimas miesto šventėse), orientavimosi žaidimą „Atrask Kuršių neriją“.</w:t>
      </w:r>
    </w:p>
    <w:p w14:paraId="6432EB20" w14:textId="4D97D9FE"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Bendradarbiauta su maždaug 40 partnerių (įskaitant sporto klubus, asociacijas, savivaldybę, verslą („Škoda“), švietimo įstaigas) organizuojant renginius ir veiklas.</w:t>
      </w:r>
    </w:p>
    <w:p w14:paraId="107304B1" w14:textId="7E91E4B4"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Vykdyta jaunimo savanoriškos tarnybos programa, veiklose dalyvavo 18</w:t>
      </w:r>
      <w:r w:rsidR="00E93985">
        <w:rPr>
          <w:szCs w:val="24"/>
          <w:lang w:eastAsia="lt-LT"/>
        </w:rPr>
        <w:t> </w:t>
      </w:r>
      <w:r>
        <w:rPr>
          <w:szCs w:val="24"/>
          <w:lang w:eastAsia="lt-LT"/>
        </w:rPr>
        <w:t>savanorių.</w:t>
      </w:r>
    </w:p>
    <w:p w14:paraId="2787BA84" w14:textId="0BAB8515"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Parengta ir įgyvendinta fizinio aktyvumo plėtros programa „Būk fiziškai aktyvus“ (finansuota Visuomenės sveikatos rėmimo programos lėšomis), įgyvendinta programa „Buriavimas visiems“.</w:t>
      </w:r>
    </w:p>
    <w:p w14:paraId="1D0B26FB" w14:textId="599030C3" w:rsidR="003060F1" w:rsidRDefault="00E02EFD">
      <w:pPr>
        <w:widowControl w:val="0"/>
        <w:pBdr>
          <w:top w:val="nil"/>
          <w:left w:val="nil"/>
          <w:bottom w:val="nil"/>
          <w:right w:val="nil"/>
          <w:between w:val="nil"/>
        </w:pBdr>
        <w:spacing w:line="275" w:lineRule="auto"/>
        <w:ind w:left="24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Atnaujinta Pervalkos orientavimosi žemėlapio dalis.</w:t>
      </w:r>
    </w:p>
    <w:p w14:paraId="52B236DD" w14:textId="77777777" w:rsidR="003060F1" w:rsidRDefault="003060F1">
      <w:pPr>
        <w:widowControl w:val="0"/>
        <w:pBdr>
          <w:top w:val="nil"/>
          <w:left w:val="nil"/>
          <w:bottom w:val="nil"/>
          <w:right w:val="nil"/>
          <w:between w:val="nil"/>
        </w:pBdr>
        <w:spacing w:line="275" w:lineRule="auto"/>
        <w:ind w:left="2400"/>
        <w:jc w:val="both"/>
        <w:rPr>
          <w:szCs w:val="24"/>
          <w:lang w:eastAsia="lt-LT"/>
        </w:rPr>
      </w:pPr>
    </w:p>
    <w:p w14:paraId="4FE33A88" w14:textId="7D419F7B" w:rsidR="003060F1" w:rsidRDefault="00E02EFD">
      <w:pPr>
        <w:widowControl w:val="0"/>
        <w:pBdr>
          <w:top w:val="nil"/>
          <w:left w:val="nil"/>
          <w:bottom w:val="nil"/>
          <w:right w:val="nil"/>
          <w:between w:val="nil"/>
        </w:pBdr>
        <w:spacing w:line="275" w:lineRule="auto"/>
        <w:ind w:left="720" w:hanging="360"/>
        <w:jc w:val="both"/>
        <w:rPr>
          <w:szCs w:val="24"/>
          <w:lang w:eastAsia="lt-LT"/>
        </w:rPr>
      </w:pPr>
      <w:r>
        <w:rPr>
          <w:b/>
          <w:szCs w:val="24"/>
          <w:lang w:eastAsia="lt-LT"/>
        </w:rPr>
        <w:t>2.</w:t>
      </w:r>
      <w:r>
        <w:rPr>
          <w:b/>
          <w:szCs w:val="24"/>
          <w:lang w:eastAsia="lt-LT"/>
        </w:rPr>
        <w:tab/>
        <w:t>Panaudotos lėšos ir šaltiniai:</w:t>
      </w:r>
    </w:p>
    <w:p w14:paraId="5B495AF5" w14:textId="28AE941A"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Pagrindinis finansavimo šaltinis – Neringos savivaldybės biudžetas (Mokykla yra biudžetinė įstaiga).</w:t>
      </w:r>
    </w:p>
    <w:p w14:paraId="283343E5" w14:textId="5435A2AC"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Projektui „Būk fiziškai aktyvus“ įgyvendinti gautos tikslinės lėšos iš Visuomenės sveikatos rėmimo specialiosios programos.</w:t>
      </w:r>
    </w:p>
    <w:p w14:paraId="51C06854" w14:textId="34D46BBB"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Pritraukta parama iš socialinių partnerių (pvz., „Škoda“ parama orientavimosi žaidimui).</w:t>
      </w:r>
    </w:p>
    <w:p w14:paraId="5D6F4AEF" w14:textId="10C01AE5"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Detali finansinė informacija pateikiama atskiruose prieduose.</w:t>
      </w:r>
    </w:p>
    <w:p w14:paraId="18423115" w14:textId="77777777" w:rsidR="003060F1" w:rsidRDefault="003060F1">
      <w:pPr>
        <w:widowControl w:val="0"/>
        <w:pBdr>
          <w:top w:val="nil"/>
          <w:left w:val="nil"/>
          <w:bottom w:val="nil"/>
          <w:right w:val="nil"/>
          <w:between w:val="nil"/>
        </w:pBdr>
        <w:spacing w:line="275" w:lineRule="auto"/>
        <w:ind w:left="1200"/>
        <w:jc w:val="both"/>
        <w:rPr>
          <w:szCs w:val="24"/>
          <w:lang w:eastAsia="lt-LT"/>
        </w:rPr>
      </w:pPr>
    </w:p>
    <w:p w14:paraId="119AACA9" w14:textId="3212A7E7" w:rsidR="003060F1" w:rsidRDefault="00E02EFD">
      <w:pPr>
        <w:widowControl w:val="0"/>
        <w:pBdr>
          <w:top w:val="nil"/>
          <w:left w:val="nil"/>
          <w:bottom w:val="nil"/>
          <w:right w:val="nil"/>
          <w:between w:val="nil"/>
        </w:pBdr>
        <w:spacing w:line="275" w:lineRule="auto"/>
        <w:ind w:left="720" w:hanging="360"/>
        <w:jc w:val="both"/>
        <w:rPr>
          <w:b/>
          <w:szCs w:val="24"/>
          <w:lang w:eastAsia="lt-LT"/>
        </w:rPr>
      </w:pPr>
      <w:r>
        <w:rPr>
          <w:b/>
          <w:szCs w:val="24"/>
          <w:lang w:eastAsia="lt-LT"/>
        </w:rPr>
        <w:t>3.</w:t>
      </w:r>
      <w:r>
        <w:rPr>
          <w:b/>
          <w:szCs w:val="24"/>
          <w:lang w:eastAsia="lt-LT"/>
        </w:rPr>
        <w:tab/>
        <w:t>Nusistatyti ataskaitinio laikotarpio veiklos rezultatų vertinimo rodikliai</w:t>
      </w:r>
    </w:p>
    <w:p w14:paraId="75DE9034" w14:textId="31ED0629" w:rsidR="003060F1" w:rsidRDefault="00E02EFD">
      <w:pPr>
        <w:widowControl w:val="0"/>
        <w:pBdr>
          <w:top w:val="nil"/>
          <w:left w:val="nil"/>
          <w:bottom w:val="nil"/>
          <w:right w:val="nil"/>
          <w:between w:val="nil"/>
        </w:pBdr>
        <w:spacing w:line="275" w:lineRule="auto"/>
        <w:jc w:val="both"/>
        <w:rPr>
          <w:szCs w:val="24"/>
          <w:lang w:eastAsia="lt-LT"/>
        </w:rPr>
      </w:pPr>
      <w:r>
        <w:rPr>
          <w:szCs w:val="24"/>
          <w:lang w:eastAsia="lt-LT"/>
        </w:rPr>
        <w:t>Čia pateikiami planuoti (pagal 2024–2026 m. strateginį planą) ir faktiniai (pagal 2024 m. veiklos ataskaitą) veiklos rezultatų vertinimo rodikliai, kur įmanoma, papildant 2023 m. faktiniais duomenimis palyginimui.</w:t>
      </w:r>
    </w:p>
    <w:p w14:paraId="764F1FA9" w14:textId="1F4AC49A" w:rsidR="003060F1" w:rsidRDefault="00E02EFD">
      <w:pPr>
        <w:widowControl w:val="0"/>
        <w:pBdr>
          <w:top w:val="nil"/>
          <w:left w:val="nil"/>
          <w:bottom w:val="nil"/>
          <w:right w:val="nil"/>
          <w:between w:val="nil"/>
        </w:pBdr>
        <w:spacing w:line="275" w:lineRule="auto"/>
        <w:ind w:left="720" w:hanging="360"/>
        <w:jc w:val="both"/>
        <w:rPr>
          <w:b/>
          <w:szCs w:val="24"/>
          <w:lang w:eastAsia="lt-LT"/>
        </w:rPr>
      </w:pPr>
      <w:r>
        <w:rPr>
          <w:b/>
          <w:szCs w:val="24"/>
          <w:lang w:eastAsia="lt-LT"/>
        </w:rPr>
        <w:t>3.1.</w:t>
      </w:r>
      <w:r>
        <w:rPr>
          <w:b/>
          <w:szCs w:val="24"/>
          <w:lang w:eastAsia="lt-LT"/>
        </w:rPr>
        <w:tab/>
        <w:t>Planuoti 2024 m. rodikliai (pagal strateginį planą):</w:t>
      </w:r>
    </w:p>
    <w:p w14:paraId="547E9180" w14:textId="03754301"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Pagal Uždavinį 1.1:</w:t>
      </w:r>
    </w:p>
    <w:p w14:paraId="16A0C620" w14:textId="2221BDA6"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Atnaujinto arba naujo inventoriaus kiekis (vnt.): 12</w:t>
      </w:r>
    </w:p>
    <w:p w14:paraId="30DD7F4F" w14:textId="31298D62"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Kviestinių lektorių kiekis (vnt.): 10</w:t>
      </w:r>
    </w:p>
    <w:p w14:paraId="3C69D0B1" w14:textId="7D012D08"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Kvalifikaciją kėlusių ir edukacinėse išvykose dalyvavusių asmenų skaičius: 9</w:t>
      </w:r>
    </w:p>
    <w:p w14:paraId="4277EBB8" w14:textId="4E3C5E79"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Pagal Uždavinį 1.2:</w:t>
      </w:r>
    </w:p>
    <w:p w14:paraId="0D9ACE62" w14:textId="2DCA8AD2"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Atnaujintas mokyklos pastatas ir stogas (kiekis, vnt.): 1</w:t>
      </w:r>
    </w:p>
    <w:p w14:paraId="06EC4598" w14:textId="6570A72E"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lastRenderedPageBreak/>
        <w:t>○</w:t>
      </w:r>
      <w:r>
        <w:rPr>
          <w:rFonts w:ascii="Arial" w:eastAsia="Arial" w:hAnsi="Arial" w:cs="Arial"/>
          <w:color w:val="000000"/>
          <w:sz w:val="22"/>
          <w:szCs w:val="22"/>
          <w:lang w:eastAsia="lt-LT"/>
        </w:rPr>
        <w:tab/>
      </w:r>
      <w:r>
        <w:rPr>
          <w:szCs w:val="24"/>
          <w:lang w:eastAsia="lt-LT"/>
        </w:rPr>
        <w:t>Atnaujintų fizinio aktyvumo erdvių kiekis (vnt.): 3</w:t>
      </w:r>
    </w:p>
    <w:p w14:paraId="31369057" w14:textId="7DD8137D"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Pagal Uždavinį 2.1:</w:t>
      </w:r>
    </w:p>
    <w:p w14:paraId="154C3552" w14:textId="27E45686"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Savitarnos, VR, DI sprendimų diegimas (Veiklos vykdymas / mėnesiai): 12</w:t>
      </w:r>
    </w:p>
    <w:p w14:paraId="319272A6" w14:textId="11669698"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Sukurtų buriavimui / OS skirtų išteklių kiekis (vnt.): 2</w:t>
      </w:r>
    </w:p>
    <w:p w14:paraId="5A4521E5" w14:textId="745A7DDD"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Sukurtų pripažinimo / skatinimo sistemų kiekis (vnt.): 1</w:t>
      </w:r>
    </w:p>
    <w:p w14:paraId="293234FF" w14:textId="0C482CA4"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Įdiegtų pažangos stebėjimo</w:t>
      </w:r>
      <w:r w:rsidR="00E93985">
        <w:rPr>
          <w:szCs w:val="24"/>
          <w:lang w:eastAsia="lt-LT"/>
        </w:rPr>
        <w:t xml:space="preserve"> </w:t>
      </w:r>
      <w:r>
        <w:rPr>
          <w:szCs w:val="24"/>
          <w:lang w:eastAsia="lt-LT"/>
        </w:rPr>
        <w:t>/</w:t>
      </w:r>
      <w:r w:rsidR="00E93985">
        <w:rPr>
          <w:szCs w:val="24"/>
          <w:lang w:eastAsia="lt-LT"/>
        </w:rPr>
        <w:t xml:space="preserve"> </w:t>
      </w:r>
      <w:r>
        <w:rPr>
          <w:szCs w:val="24"/>
          <w:lang w:eastAsia="lt-LT"/>
        </w:rPr>
        <w:t>vertinimo priemonių kiekis (vnt.): 2</w:t>
      </w:r>
    </w:p>
    <w:p w14:paraId="0627D635" w14:textId="6A292D39"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Pagal Uždavinį 3.1:</w:t>
      </w:r>
    </w:p>
    <w:p w14:paraId="4151723D" w14:textId="532583C7"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 xml:space="preserve">Organizuotų stovyklų ir renginių kiekis (vnt.): </w:t>
      </w:r>
      <w:r w:rsidR="00E93985">
        <w:rPr>
          <w:szCs w:val="24"/>
          <w:lang w:eastAsia="lt-LT"/>
        </w:rPr>
        <w:t>243</w:t>
      </w:r>
    </w:p>
    <w:p w14:paraId="3013C011" w14:textId="593FCEED"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 xml:space="preserve">Savanorystės programos plėtojimas (kiekis, vnt.): 7 </w:t>
      </w:r>
    </w:p>
    <w:p w14:paraId="00BC1B3B" w14:textId="5DD65250"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 xml:space="preserve">Parengtų </w:t>
      </w:r>
      <w:r w:rsidR="00E93985">
        <w:rPr>
          <w:szCs w:val="24"/>
          <w:lang w:eastAsia="lt-LT"/>
        </w:rPr>
        <w:t>ir</w:t>
      </w:r>
      <w:r>
        <w:rPr>
          <w:szCs w:val="24"/>
          <w:lang w:eastAsia="lt-LT"/>
        </w:rPr>
        <w:t xml:space="preserve"> įgyvendintų fizinio aktyvumo plėtros programų kiekis (vnt.): 1</w:t>
      </w:r>
    </w:p>
    <w:p w14:paraId="4B6D4BBF" w14:textId="1D16162C" w:rsidR="003060F1" w:rsidRDefault="00E02EFD">
      <w:pPr>
        <w:widowControl w:val="0"/>
        <w:pBdr>
          <w:top w:val="nil"/>
          <w:left w:val="nil"/>
          <w:bottom w:val="nil"/>
          <w:right w:val="nil"/>
          <w:between w:val="nil"/>
        </w:pBdr>
        <w:spacing w:line="275" w:lineRule="auto"/>
        <w:ind w:left="12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 xml:space="preserve">Atnaujintų </w:t>
      </w:r>
      <w:r w:rsidR="00632E88">
        <w:rPr>
          <w:szCs w:val="24"/>
          <w:lang w:eastAsia="lt-LT"/>
        </w:rPr>
        <w:t>ir</w:t>
      </w:r>
      <w:r>
        <w:rPr>
          <w:szCs w:val="24"/>
          <w:lang w:eastAsia="lt-LT"/>
        </w:rPr>
        <w:t xml:space="preserve"> parengtų orientavimosi žemėlapių kiekis (vnt.): 1</w:t>
      </w:r>
    </w:p>
    <w:p w14:paraId="01EC07F3" w14:textId="1B7F8593" w:rsidR="003060F1" w:rsidRDefault="00E02EFD">
      <w:pPr>
        <w:widowControl w:val="0"/>
        <w:pBdr>
          <w:top w:val="nil"/>
          <w:left w:val="nil"/>
          <w:bottom w:val="nil"/>
          <w:right w:val="nil"/>
          <w:between w:val="nil"/>
        </w:pBdr>
        <w:spacing w:line="275" w:lineRule="auto"/>
        <w:ind w:left="720" w:hanging="360"/>
        <w:jc w:val="both"/>
        <w:rPr>
          <w:b/>
          <w:szCs w:val="24"/>
          <w:lang w:eastAsia="lt-LT"/>
        </w:rPr>
      </w:pPr>
      <w:r>
        <w:rPr>
          <w:b/>
          <w:szCs w:val="24"/>
          <w:lang w:eastAsia="lt-LT"/>
        </w:rPr>
        <w:t>3.2.</w:t>
      </w:r>
      <w:r>
        <w:rPr>
          <w:b/>
          <w:szCs w:val="24"/>
          <w:lang w:eastAsia="lt-LT"/>
        </w:rPr>
        <w:tab/>
        <w:t xml:space="preserve"> Faktiniai 2024 m. rodikliai (pagal veiklos ataskaitą):</w:t>
      </w:r>
    </w:p>
    <w:p w14:paraId="56F99B0A" w14:textId="67620105" w:rsidR="003060F1" w:rsidRDefault="00E02EFD">
      <w:pPr>
        <w:widowControl w:val="0"/>
        <w:pBdr>
          <w:top w:val="nil"/>
          <w:left w:val="nil"/>
          <w:bottom w:val="nil"/>
          <w:right w:val="nil"/>
          <w:between w:val="nil"/>
        </w:pBdr>
        <w:spacing w:line="275" w:lineRule="auto"/>
        <w:ind w:left="1080" w:hanging="720"/>
        <w:jc w:val="both"/>
        <w:rPr>
          <w:b/>
          <w:szCs w:val="24"/>
          <w:lang w:eastAsia="lt-LT"/>
        </w:rPr>
      </w:pPr>
      <w:r>
        <w:rPr>
          <w:b/>
          <w:szCs w:val="24"/>
          <w:lang w:eastAsia="lt-LT"/>
        </w:rPr>
        <w:t>3.2.1.</w:t>
      </w:r>
      <w:r>
        <w:rPr>
          <w:b/>
          <w:szCs w:val="24"/>
          <w:lang w:eastAsia="lt-LT"/>
        </w:rPr>
        <w:tab/>
        <w:t>Kiekybiniai rodikliai (veiklos mastas):</w:t>
      </w:r>
    </w:p>
    <w:p w14:paraId="40BDBD74" w14:textId="1F40BD74"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Darbuotojų skaičius: 10.</w:t>
      </w:r>
    </w:p>
    <w:p w14:paraId="4A19EE6C" w14:textId="6B9070B5"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Mokinių skaičius ugdymo programose: 111.</w:t>
      </w:r>
    </w:p>
    <w:p w14:paraId="5FDC728F" w14:textId="19910599"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Suaugusiųjų dalyvių skaičius programose: 31. (2023 m. bendras dalyvių skaičius programose / stovyklose – daugiau kaip 400, tiesiogiai nelyginama).</w:t>
      </w:r>
    </w:p>
    <w:p w14:paraId="2723C32C" w14:textId="35CD21A8"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Vykdytų ugdymo programų skaičius: 7 (2023 m. – 7).</w:t>
      </w:r>
    </w:p>
    <w:p w14:paraId="2203460E" w14:textId="1B55633F"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Organizuotų / dalyvautų fizinio aktyvumo veiklų ir varžybų skaičius: 243 (2023 m. – 171).</w:t>
      </w:r>
    </w:p>
    <w:p w14:paraId="72A33D1B" w14:textId="6C051DCE"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Unikalių organizuotų renginių skaičius: 56 (2023 m. – 47).</w:t>
      </w:r>
    </w:p>
    <w:p w14:paraId="0103E839" w14:textId="0E754C69"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Partnerių skaičius: apie 40 (2023 m. – 26).</w:t>
      </w:r>
    </w:p>
    <w:p w14:paraId="0DF08763" w14:textId="027B0151"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Bendra renginių dalyvių auditorija: &gt; 5 200 (2023 m. – &gt;2617).</w:t>
      </w:r>
    </w:p>
    <w:p w14:paraId="5F8688AD" w14:textId="758B77AC"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Naujienų peržiūrų skaičius internete: &gt; 200 000 (2023 m. – &gt; 200 000).</w:t>
      </w:r>
    </w:p>
    <w:p w14:paraId="47364487" w14:textId="54D6FC8B"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Surengtų sporto</w:t>
      </w:r>
      <w:r w:rsidR="00632E88">
        <w:rPr>
          <w:szCs w:val="24"/>
          <w:lang w:eastAsia="lt-LT"/>
        </w:rPr>
        <w:t xml:space="preserve"> </w:t>
      </w:r>
      <w:r>
        <w:rPr>
          <w:szCs w:val="24"/>
          <w:lang w:eastAsia="lt-LT"/>
        </w:rPr>
        <w:t>/</w:t>
      </w:r>
      <w:r w:rsidR="00632E88">
        <w:rPr>
          <w:szCs w:val="24"/>
          <w:lang w:eastAsia="lt-LT"/>
        </w:rPr>
        <w:t xml:space="preserve"> </w:t>
      </w:r>
      <w:r>
        <w:rPr>
          <w:szCs w:val="24"/>
          <w:lang w:eastAsia="lt-LT"/>
        </w:rPr>
        <w:t>sveikatinimo renginių bendruomenei ne sezono metu skaičius: 9 (2023 m. – 9).</w:t>
      </w:r>
    </w:p>
    <w:p w14:paraId="07EFD1F4" w14:textId="78E6E93C"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Surengtų „Buriavimo visiems“ stovyklų skaičius: 12 (2023 m. – 7).</w:t>
      </w:r>
    </w:p>
    <w:p w14:paraId="16562821" w14:textId="461D9B98"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Vasaros akademijos stovyklų skaičius: 7 (2023 m. – 7).</w:t>
      </w:r>
    </w:p>
    <w:p w14:paraId="024E2D18" w14:textId="04E0FB84"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Vasaros akademijos dalyvių skaičius: &gt; 150 (2023 m. – &gt; 150).</w:t>
      </w:r>
    </w:p>
    <w:p w14:paraId="0C24A08D" w14:textId="0BACF288"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Savanorių skaičius: 18.</w:t>
      </w:r>
    </w:p>
    <w:p w14:paraId="743008DB" w14:textId="0BB3CC30"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Suorganizuotų profesionalių ir mėgėjų varžybų skaičius (su partneriais): 35 (2023 m. – 10).</w:t>
      </w:r>
    </w:p>
    <w:p w14:paraId="71D09CE7" w14:textId="0FBAC8BE"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Profesionalių ir mėgėjų varžybų dalyvių skaičius: ~ 4 000 (2023 m. – 700).</w:t>
      </w:r>
    </w:p>
    <w:p w14:paraId="6B203570" w14:textId="15844E41"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„Nida – 3 dienos“ varžybų dalyvių skaičius: &gt; 250 (2023 m. – &gt;197).</w:t>
      </w:r>
    </w:p>
    <w:p w14:paraId="4DAEFCB4" w14:textId="2D9057C8"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Varžybose užimtų 1–4 vietų skaičius: 52.</w:t>
      </w:r>
    </w:p>
    <w:p w14:paraId="1346B802" w14:textId="77777777" w:rsidR="003060F1" w:rsidRDefault="00E02EFD">
      <w:pPr>
        <w:widowControl w:val="0"/>
        <w:pBdr>
          <w:top w:val="nil"/>
          <w:left w:val="nil"/>
          <w:bottom w:val="nil"/>
          <w:right w:val="nil"/>
          <w:between w:val="nil"/>
        </w:pBdr>
        <w:spacing w:line="275" w:lineRule="auto"/>
        <w:jc w:val="both"/>
        <w:rPr>
          <w:i/>
          <w:szCs w:val="24"/>
          <w:lang w:eastAsia="lt-LT"/>
        </w:rPr>
      </w:pPr>
      <w:r>
        <w:rPr>
          <w:i/>
          <w:szCs w:val="24"/>
          <w:lang w:eastAsia="lt-LT"/>
        </w:rPr>
        <w:t>Detalus 2024 m. prizinių vietų pasiskirstymas: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0" w:type="dxa"/>
          <w:left w:w="100" w:type="dxa"/>
          <w:bottom w:w="100" w:type="dxa"/>
          <w:right w:w="100" w:type="dxa"/>
        </w:tblCellMar>
        <w:tblLook w:val="0600" w:firstRow="0" w:lastRow="0" w:firstColumn="0" w:lastColumn="0" w:noHBand="1" w:noVBand="1"/>
      </w:tblPr>
      <w:tblGrid>
        <w:gridCol w:w="5175"/>
        <w:gridCol w:w="630"/>
        <w:gridCol w:w="690"/>
        <w:gridCol w:w="705"/>
        <w:gridCol w:w="600"/>
        <w:gridCol w:w="1560"/>
      </w:tblGrid>
      <w:tr w:rsidR="003060F1" w14:paraId="1AD3EB14"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DD342" w14:textId="77777777" w:rsidR="003060F1" w:rsidRDefault="00E02EFD">
            <w:pPr>
              <w:widowControl w:val="0"/>
              <w:pBdr>
                <w:top w:val="nil"/>
                <w:left w:val="nil"/>
                <w:bottom w:val="nil"/>
                <w:right w:val="nil"/>
                <w:between w:val="nil"/>
              </w:pBdr>
              <w:spacing w:line="275" w:lineRule="auto"/>
              <w:jc w:val="both"/>
              <w:rPr>
                <w:b/>
                <w:szCs w:val="24"/>
                <w:lang w:eastAsia="lt-LT"/>
              </w:rPr>
            </w:pPr>
            <w:r>
              <w:rPr>
                <w:b/>
                <w:szCs w:val="24"/>
                <w:lang w:eastAsia="lt-LT"/>
              </w:rPr>
              <w:t>Varžybos</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6E5D18"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 xml:space="preserve">1 </w:t>
            </w:r>
            <w:proofErr w:type="spellStart"/>
            <w:r>
              <w:rPr>
                <w:b/>
                <w:szCs w:val="24"/>
                <w:lang w:eastAsia="lt-LT"/>
              </w:rPr>
              <w:t>vt.</w:t>
            </w:r>
            <w:proofErr w:type="spellEnd"/>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F664EB"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 xml:space="preserve">2 </w:t>
            </w:r>
            <w:proofErr w:type="spellStart"/>
            <w:r>
              <w:rPr>
                <w:b/>
                <w:szCs w:val="24"/>
                <w:lang w:eastAsia="lt-LT"/>
              </w:rPr>
              <w:t>vt.</w:t>
            </w:r>
            <w:proofErr w:type="spellEnd"/>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8A674E"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 xml:space="preserve">3 </w:t>
            </w:r>
            <w:proofErr w:type="spellStart"/>
            <w:r>
              <w:rPr>
                <w:b/>
                <w:szCs w:val="24"/>
                <w:lang w:eastAsia="lt-LT"/>
              </w:rPr>
              <w:t>vt.</w:t>
            </w:r>
            <w:proofErr w:type="spellEnd"/>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A16AC"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 xml:space="preserve">4 </w:t>
            </w:r>
            <w:proofErr w:type="spellStart"/>
            <w:r>
              <w:rPr>
                <w:b/>
                <w:szCs w:val="24"/>
                <w:lang w:eastAsia="lt-LT"/>
              </w:rPr>
              <w:t>vt.</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34775B"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Bendroji suma</w:t>
            </w:r>
          </w:p>
        </w:tc>
      </w:tr>
      <w:tr w:rsidR="003060F1" w14:paraId="650CF7EE"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EE0C0C" w14:textId="11FE3FD6" w:rsidR="003060F1" w:rsidRDefault="00E02EFD">
            <w:pPr>
              <w:widowControl w:val="0"/>
              <w:pBdr>
                <w:top w:val="nil"/>
                <w:left w:val="nil"/>
                <w:bottom w:val="nil"/>
                <w:right w:val="nil"/>
                <w:between w:val="nil"/>
              </w:pBdr>
              <w:spacing w:line="275" w:lineRule="auto"/>
              <w:rPr>
                <w:szCs w:val="24"/>
                <w:lang w:eastAsia="lt-LT"/>
              </w:rPr>
            </w:pPr>
            <w:r>
              <w:rPr>
                <w:szCs w:val="24"/>
                <w:lang w:eastAsia="lt-LT"/>
              </w:rPr>
              <w:t>„</w:t>
            </w:r>
            <w:proofErr w:type="spellStart"/>
            <w:r>
              <w:rPr>
                <w:szCs w:val="24"/>
                <w:lang w:eastAsia="lt-LT"/>
              </w:rPr>
              <w:t>Jazz</w:t>
            </w:r>
            <w:proofErr w:type="spellEnd"/>
            <w:r>
              <w:rPr>
                <w:szCs w:val="24"/>
                <w:lang w:eastAsia="lt-LT"/>
              </w:rPr>
              <w:t xml:space="preserve"> </w:t>
            </w:r>
            <w:proofErr w:type="spellStart"/>
            <w:r>
              <w:rPr>
                <w:szCs w:val="24"/>
                <w:lang w:eastAsia="lt-LT"/>
              </w:rPr>
              <w:t>dancer</w:t>
            </w:r>
            <w:proofErr w:type="spellEnd"/>
            <w:r>
              <w:rPr>
                <w:szCs w:val="24"/>
                <w:lang w:eastAsia="lt-LT"/>
              </w:rPr>
              <w:t>“</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510187"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B4515D"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234E6"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44CC5"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920D17"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r>
      <w:tr w:rsidR="003060F1" w14:paraId="5DC5791E"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9057BA" w14:textId="1AD4AD2D" w:rsidR="003060F1" w:rsidRDefault="00E02EFD">
            <w:pPr>
              <w:widowControl w:val="0"/>
              <w:pBdr>
                <w:top w:val="nil"/>
                <w:left w:val="nil"/>
                <w:bottom w:val="nil"/>
                <w:right w:val="nil"/>
                <w:between w:val="nil"/>
              </w:pBdr>
              <w:spacing w:line="275" w:lineRule="auto"/>
              <w:rPr>
                <w:szCs w:val="24"/>
                <w:lang w:eastAsia="lt-LT"/>
              </w:rPr>
            </w:pPr>
            <w:r>
              <w:rPr>
                <w:szCs w:val="24"/>
                <w:lang w:eastAsia="lt-LT"/>
              </w:rPr>
              <w:t>„Jūros šventė 2024“</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2547B"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FF1B0"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17C235"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239DB"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F24ECB"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7D9F5999"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C456A7"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Klaipėdos OS čempionatas</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D2DF1"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85855"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01904B"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0957CC"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7A230D"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r>
      <w:tr w:rsidR="003060F1" w14:paraId="1EC00951"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3D4568"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Klaipėdos OS ketvirtadieniai</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9C8650"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D99B9A"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335C8D"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7285DB"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860D7B"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5786E766"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3235E7"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Klaipėdos OS patalpose taurė</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4AB1B7"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90884E"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C9F57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DAF454"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C1E65"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r>
      <w:tr w:rsidR="003060F1" w14:paraId="5025514D"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6824AB"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LOJKBA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53B48C"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424596"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746674"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B5D9D"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9311F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r>
      <w:tr w:rsidR="003060F1" w14:paraId="500AC0DE"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ACDAA1" w14:textId="5182CA13" w:rsidR="003060F1" w:rsidRDefault="00E02EFD">
            <w:pPr>
              <w:widowControl w:val="0"/>
              <w:pBdr>
                <w:top w:val="nil"/>
                <w:left w:val="nil"/>
                <w:bottom w:val="nil"/>
                <w:right w:val="nil"/>
                <w:between w:val="nil"/>
              </w:pBdr>
              <w:spacing w:line="275" w:lineRule="auto"/>
              <w:rPr>
                <w:szCs w:val="24"/>
                <w:lang w:eastAsia="lt-LT"/>
              </w:rPr>
            </w:pPr>
            <w:r>
              <w:rPr>
                <w:szCs w:val="24"/>
                <w:lang w:eastAsia="lt-LT"/>
              </w:rPr>
              <w:t xml:space="preserve">LR buriavimo taurė, </w:t>
            </w:r>
            <w:proofErr w:type="spellStart"/>
            <w:r>
              <w:rPr>
                <w:szCs w:val="24"/>
                <w:lang w:eastAsia="lt-LT"/>
              </w:rPr>
              <w:t>Vl</w:t>
            </w:r>
            <w:proofErr w:type="spellEnd"/>
            <w:r>
              <w:rPr>
                <w:szCs w:val="24"/>
                <w:lang w:eastAsia="lt-LT"/>
              </w:rPr>
              <w:t xml:space="preserve">. </w:t>
            </w:r>
            <w:r w:rsidR="00632E88">
              <w:rPr>
                <w:szCs w:val="24"/>
                <w:lang w:eastAsia="lt-LT"/>
              </w:rPr>
              <w:t>i</w:t>
            </w:r>
            <w:r>
              <w:rPr>
                <w:szCs w:val="24"/>
                <w:lang w:eastAsia="lt-LT"/>
              </w:rPr>
              <w:t>r V. Mamontovų atminimo taurė</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C1C4A"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E63FDE"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2CDA3A"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BCADD8"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664250"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r>
      <w:tr w:rsidR="003060F1" w14:paraId="74B0174F"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95DB44"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lastRenderedPageBreak/>
              <w:t>LR suaugusiųjų, jaunimo ir jaunių čempionatai</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998A4"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31BCB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21C354"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F10E3"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477DBF"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6</w:t>
            </w:r>
          </w:p>
        </w:tc>
      </w:tr>
      <w:tr w:rsidR="003060F1" w14:paraId="1D00593E"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7B3128" w14:textId="26E2E3B0" w:rsidR="003060F1" w:rsidRDefault="00E02EFD">
            <w:pPr>
              <w:widowControl w:val="0"/>
              <w:pBdr>
                <w:top w:val="nil"/>
                <w:left w:val="nil"/>
                <w:bottom w:val="nil"/>
                <w:right w:val="nil"/>
                <w:between w:val="nil"/>
              </w:pBdr>
              <w:spacing w:line="275" w:lineRule="auto"/>
              <w:rPr>
                <w:szCs w:val="24"/>
                <w:lang w:eastAsia="lt-LT"/>
              </w:rPr>
            </w:pPr>
            <w:r>
              <w:rPr>
                <w:szCs w:val="24"/>
                <w:lang w:eastAsia="lt-LT"/>
              </w:rPr>
              <w:t>„Nida – 3 dienos“</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97DF5"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20335"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41F4FB"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5FE3CC"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3062B"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6D211939"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6C6D26"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Limarko buriavimo taurė</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A42B8A"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2713B7"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2C315D"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6EAD79"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02025A"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5</w:t>
            </w:r>
          </w:p>
        </w:tc>
      </w:tr>
      <w:tr w:rsidR="003060F1" w14:paraId="4B27B089"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D19A71"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Lietuvos Respublikos vaikų ir jaunučių buriavimo čempionatas</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1EA8E8"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42AD8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085822"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9D165"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52B648"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4E4C653D"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AC6371"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Nidos pusės maratono bėgimas</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6FC091"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B3E56"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D343E8"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E0ECE1"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EC462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6</w:t>
            </w:r>
          </w:p>
        </w:tc>
      </w:tr>
      <w:tr w:rsidR="003060F1" w14:paraId="03A39085"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4C6E6"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NSM taurė</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DF5B6A"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4</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C2E6FF"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49748"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CC8C68"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335729"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11</w:t>
            </w:r>
          </w:p>
        </w:tc>
      </w:tr>
      <w:tr w:rsidR="003060F1" w14:paraId="0C479829"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EC02E0"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Šiaurė šalių jaunimo čempionatas (Danija)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372CEE"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C39355"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F7FACB"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5D328F"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6978AE"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4426BA0B"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A51491" w14:textId="77777777" w:rsidR="003060F1" w:rsidRDefault="00E02EFD">
            <w:pPr>
              <w:widowControl w:val="0"/>
              <w:pBdr>
                <w:top w:val="nil"/>
                <w:left w:val="nil"/>
                <w:bottom w:val="nil"/>
                <w:right w:val="nil"/>
                <w:between w:val="nil"/>
              </w:pBdr>
              <w:spacing w:line="275" w:lineRule="auto"/>
              <w:rPr>
                <w:szCs w:val="24"/>
                <w:lang w:eastAsia="lt-LT"/>
              </w:rPr>
            </w:pPr>
            <w:r>
              <w:rPr>
                <w:szCs w:val="24"/>
                <w:lang w:eastAsia="lt-LT"/>
              </w:rPr>
              <w:t>Rėkyvos regata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12D6F1"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CCB457"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F50CF"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3C01EC"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2283CB"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068AE442"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BC13C9" w14:textId="6C565891" w:rsidR="003060F1" w:rsidRDefault="00E02EFD">
            <w:pPr>
              <w:widowControl w:val="0"/>
              <w:pBdr>
                <w:top w:val="nil"/>
                <w:left w:val="nil"/>
                <w:bottom w:val="nil"/>
                <w:right w:val="nil"/>
                <w:between w:val="nil"/>
              </w:pBdr>
              <w:spacing w:line="275" w:lineRule="auto"/>
              <w:rPr>
                <w:szCs w:val="24"/>
                <w:lang w:eastAsia="lt-LT"/>
              </w:rPr>
            </w:pPr>
            <w:r>
              <w:rPr>
                <w:szCs w:val="24"/>
                <w:lang w:eastAsia="lt-LT"/>
              </w:rPr>
              <w:t>Tarptautinė „Rudens vėjo“ regata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4FCD0C"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7A4D0D"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EAEA20"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24B7F3"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1B573"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4</w:t>
            </w:r>
          </w:p>
        </w:tc>
      </w:tr>
      <w:tr w:rsidR="003060F1" w14:paraId="35B37A5F"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636589" w14:textId="0E5123E1" w:rsidR="003060F1" w:rsidRDefault="00E02EFD">
            <w:pPr>
              <w:widowControl w:val="0"/>
              <w:pBdr>
                <w:top w:val="nil"/>
                <w:left w:val="nil"/>
                <w:bottom w:val="nil"/>
                <w:right w:val="nil"/>
                <w:between w:val="nil"/>
              </w:pBdr>
              <w:spacing w:line="275" w:lineRule="auto"/>
              <w:rPr>
                <w:szCs w:val="24"/>
                <w:lang w:eastAsia="lt-LT"/>
              </w:rPr>
            </w:pPr>
            <w:r>
              <w:rPr>
                <w:szCs w:val="24"/>
                <w:lang w:eastAsia="lt-LT"/>
              </w:rPr>
              <w:t>„Vilnius 2024“</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AFD08"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9E198"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2034D8"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83E40" w14:textId="77777777" w:rsidR="003060F1" w:rsidRDefault="003060F1">
            <w:pPr>
              <w:widowControl w:val="0"/>
              <w:pBdr>
                <w:top w:val="nil"/>
                <w:left w:val="nil"/>
                <w:bottom w:val="nil"/>
                <w:right w:val="nil"/>
                <w:between w:val="nil"/>
              </w:pBdr>
              <w:spacing w:line="275" w:lineRule="auto"/>
              <w:jc w:val="center"/>
              <w:rPr>
                <w:szCs w:val="24"/>
                <w:lang w:eastAsia="lt-LT"/>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8F9CA" w14:textId="77777777" w:rsidR="003060F1" w:rsidRDefault="00E02EFD">
            <w:pPr>
              <w:widowControl w:val="0"/>
              <w:pBdr>
                <w:top w:val="nil"/>
                <w:left w:val="nil"/>
                <w:bottom w:val="nil"/>
                <w:right w:val="nil"/>
                <w:between w:val="nil"/>
              </w:pBdr>
              <w:spacing w:line="275" w:lineRule="auto"/>
              <w:jc w:val="center"/>
              <w:rPr>
                <w:szCs w:val="24"/>
                <w:lang w:eastAsia="lt-LT"/>
              </w:rPr>
            </w:pPr>
            <w:r>
              <w:rPr>
                <w:szCs w:val="24"/>
                <w:lang w:eastAsia="lt-LT"/>
              </w:rPr>
              <w:t>1</w:t>
            </w:r>
          </w:p>
        </w:tc>
      </w:tr>
      <w:tr w:rsidR="003060F1" w14:paraId="41C8E29C" w14:textId="77777777">
        <w:tc>
          <w:tcPr>
            <w:tcW w:w="5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6A6CFF" w14:textId="77777777" w:rsidR="003060F1" w:rsidRDefault="00E02EFD">
            <w:pPr>
              <w:widowControl w:val="0"/>
              <w:pBdr>
                <w:top w:val="nil"/>
                <w:left w:val="nil"/>
                <w:bottom w:val="nil"/>
                <w:right w:val="nil"/>
                <w:between w:val="nil"/>
              </w:pBdr>
              <w:spacing w:line="275" w:lineRule="auto"/>
              <w:jc w:val="both"/>
              <w:rPr>
                <w:b/>
                <w:szCs w:val="24"/>
                <w:lang w:eastAsia="lt-LT"/>
              </w:rPr>
            </w:pPr>
            <w:r>
              <w:rPr>
                <w:b/>
                <w:szCs w:val="24"/>
                <w:lang w:eastAsia="lt-LT"/>
              </w:rPr>
              <w:t>Iš viso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E44E5A"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13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9E92C3"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13</w:t>
            </w: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7101EE"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15</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63DF0E"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11</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70DC86" w14:textId="77777777"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52</w:t>
            </w:r>
          </w:p>
        </w:tc>
      </w:tr>
    </w:tbl>
    <w:p w14:paraId="52AA6405" w14:textId="40EBB520"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Įsigytų naujų „</w:t>
      </w:r>
      <w:proofErr w:type="spellStart"/>
      <w:r>
        <w:rPr>
          <w:szCs w:val="24"/>
          <w:lang w:eastAsia="lt-LT"/>
        </w:rPr>
        <w:t>Optimist</w:t>
      </w:r>
      <w:proofErr w:type="spellEnd"/>
      <w:r>
        <w:rPr>
          <w:szCs w:val="24"/>
          <w:lang w:eastAsia="lt-LT"/>
        </w:rPr>
        <w:t>“ jachtų skaičius: 4.</w:t>
      </w:r>
    </w:p>
    <w:p w14:paraId="6DCBFC7D" w14:textId="7ED866C1"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Įsigytų naujų „</w:t>
      </w:r>
      <w:proofErr w:type="spellStart"/>
      <w:r>
        <w:rPr>
          <w:szCs w:val="24"/>
          <w:lang w:eastAsia="lt-LT"/>
        </w:rPr>
        <w:t>Wing-foil</w:t>
      </w:r>
      <w:proofErr w:type="spellEnd"/>
      <w:r>
        <w:rPr>
          <w:szCs w:val="24"/>
          <w:lang w:eastAsia="lt-LT"/>
        </w:rPr>
        <w:t xml:space="preserve">“ komplektų skaičius: </w:t>
      </w:r>
      <w:r w:rsidR="00632E88">
        <w:rPr>
          <w:szCs w:val="24"/>
        </w:rPr>
        <w:t xml:space="preserve">2 </w:t>
      </w:r>
      <w:proofErr w:type="spellStart"/>
      <w:r w:rsidR="00632E88">
        <w:rPr>
          <w:szCs w:val="24"/>
        </w:rPr>
        <w:t>vėjasparniai</w:t>
      </w:r>
      <w:proofErr w:type="spellEnd"/>
      <w:r w:rsidR="00632E88">
        <w:rPr>
          <w:szCs w:val="24"/>
        </w:rPr>
        <w:t>, 2 lentos, 1 pelekas</w:t>
      </w:r>
      <w:r>
        <w:rPr>
          <w:szCs w:val="24"/>
          <w:lang w:eastAsia="lt-LT"/>
        </w:rPr>
        <w:t>.</w:t>
      </w:r>
    </w:p>
    <w:p w14:paraId="45A23E19" w14:textId="18C0627B"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Įsigytų VR akinių skaičius: (2023 m. – 2 vnt.).</w:t>
      </w:r>
    </w:p>
    <w:p w14:paraId="1B522808" w14:textId="2FA95AA0"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Atnaujintų</w:t>
      </w:r>
      <w:r w:rsidR="00632E88">
        <w:rPr>
          <w:szCs w:val="24"/>
          <w:lang w:eastAsia="lt-LT"/>
        </w:rPr>
        <w:t xml:space="preserve"> </w:t>
      </w:r>
      <w:r>
        <w:rPr>
          <w:szCs w:val="24"/>
          <w:lang w:eastAsia="lt-LT"/>
        </w:rPr>
        <w:t>/</w:t>
      </w:r>
      <w:r w:rsidR="00632E88">
        <w:rPr>
          <w:szCs w:val="24"/>
          <w:lang w:eastAsia="lt-LT"/>
        </w:rPr>
        <w:t xml:space="preserve"> </w:t>
      </w:r>
      <w:r>
        <w:rPr>
          <w:szCs w:val="24"/>
          <w:lang w:eastAsia="lt-LT"/>
        </w:rPr>
        <w:t>įrengtų fizinio aktyvumo erdvių</w:t>
      </w:r>
      <w:r w:rsidR="00632E88">
        <w:rPr>
          <w:szCs w:val="24"/>
          <w:lang w:eastAsia="lt-LT"/>
        </w:rPr>
        <w:t xml:space="preserve"> </w:t>
      </w:r>
      <w:r>
        <w:rPr>
          <w:szCs w:val="24"/>
          <w:lang w:eastAsia="lt-LT"/>
        </w:rPr>
        <w:t>/</w:t>
      </w:r>
      <w:r w:rsidR="00632E88">
        <w:rPr>
          <w:szCs w:val="24"/>
          <w:lang w:eastAsia="lt-LT"/>
        </w:rPr>
        <w:t xml:space="preserve"> </w:t>
      </w:r>
      <w:r>
        <w:rPr>
          <w:szCs w:val="24"/>
          <w:lang w:eastAsia="lt-LT"/>
        </w:rPr>
        <w:t>objektų skaičius: 3 (Mokyklos erdvė, KNP erdvė, Juodkrantės tiltelis</w:t>
      </w:r>
      <w:r w:rsidR="00632E88">
        <w:rPr>
          <w:szCs w:val="24"/>
          <w:lang w:eastAsia="lt-LT"/>
        </w:rPr>
        <w:t xml:space="preserve">, </w:t>
      </w:r>
      <w:r w:rsidR="00632E88">
        <w:rPr>
          <w:szCs w:val="24"/>
        </w:rPr>
        <w:t>treniruoklių salė) (2023 m. įrengtas tiltelis).</w:t>
      </w:r>
    </w:p>
    <w:p w14:paraId="39D68011" w14:textId="60D38BB8"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Įdiegtų virtualių mokymo aplinkų skaičius: 1.</w:t>
      </w:r>
    </w:p>
    <w:p w14:paraId="74FBD8C0" w14:textId="1268FD8B"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Parengtų skaitmeninės ekosistemos aprašų skaičius: 1.</w:t>
      </w:r>
    </w:p>
    <w:p w14:paraId="7CB73003" w14:textId="31AB4453"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Įgyvendintų fizinio aktyvumo plėtros programų skaičius: 2+ („Buriavimas visiems“, „Būk fiziškai aktyvus“, Vasaros akademija) (2023 m.  vykdytos panašios programos).</w:t>
      </w:r>
    </w:p>
    <w:p w14:paraId="1AB9E372" w14:textId="5864E4D2"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Atnaujintų orientavimosi žemėlapių skaičius: 1 (Pervalka) (2023 m. atnaujintas Pervalkos žemėlapis).</w:t>
      </w:r>
    </w:p>
    <w:p w14:paraId="771B1569" w14:textId="26C5EDB9" w:rsidR="003060F1" w:rsidRDefault="00E02EFD">
      <w:pPr>
        <w:widowControl w:val="0"/>
        <w:pBdr>
          <w:top w:val="nil"/>
          <w:left w:val="nil"/>
          <w:bottom w:val="nil"/>
          <w:right w:val="nil"/>
          <w:between w:val="nil"/>
        </w:pBdr>
        <w:spacing w:line="275" w:lineRule="auto"/>
        <w:ind w:left="600" w:hanging="360"/>
        <w:jc w:val="both"/>
        <w:rPr>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szCs w:val="24"/>
          <w:lang w:eastAsia="lt-LT"/>
        </w:rPr>
        <w:t>Kvalifikaciją kėlusių darbuotojų skaičius: 10 (visi darbuotojai periodiškai tobulino kompetencijas) (2023 m. vyko kvalifikacijos kėlimas).</w:t>
      </w:r>
    </w:p>
    <w:p w14:paraId="65114E5C" w14:textId="34174C83" w:rsidR="003060F1" w:rsidRDefault="00E02EFD">
      <w:pPr>
        <w:widowControl w:val="0"/>
        <w:pBdr>
          <w:top w:val="nil"/>
          <w:left w:val="nil"/>
          <w:bottom w:val="nil"/>
          <w:right w:val="nil"/>
          <w:between w:val="nil"/>
        </w:pBdr>
        <w:spacing w:line="275" w:lineRule="auto"/>
        <w:ind w:left="1080" w:hanging="720"/>
        <w:jc w:val="both"/>
        <w:rPr>
          <w:b/>
          <w:szCs w:val="24"/>
          <w:lang w:eastAsia="lt-LT"/>
        </w:rPr>
      </w:pPr>
      <w:r>
        <w:rPr>
          <w:b/>
          <w:szCs w:val="24"/>
          <w:lang w:eastAsia="lt-LT"/>
        </w:rPr>
        <w:t>3.2.2.</w:t>
      </w:r>
      <w:r>
        <w:rPr>
          <w:b/>
          <w:szCs w:val="24"/>
          <w:lang w:eastAsia="lt-LT"/>
        </w:rPr>
        <w:tab/>
        <w:t>Kokybiniai rodikliai (veiklos charakteristikos):</w:t>
      </w:r>
    </w:p>
    <w:p w14:paraId="63F80AF1" w14:textId="27490AC0"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Ugdymo kokybės gerinimas:</w:t>
      </w:r>
      <w:r>
        <w:rPr>
          <w:szCs w:val="24"/>
          <w:lang w:eastAsia="lt-LT"/>
        </w:rPr>
        <w:t xml:space="preserve"> Sistemingas visų darbuotojų kvalifikacijos kėlimas, modernaus ir įvairaus inventoriaus įsigijimas, infrastruktūros gerinimas rodo nuoseklias pastangas užtikrinti aukštą ugdymo kokybę (tęstinė veikla).</w:t>
      </w:r>
    </w:p>
    <w:p w14:paraId="3DC8B27E" w14:textId="33B44F0A"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Bendradarbiavimo efektyvumas:</w:t>
      </w:r>
      <w:r>
        <w:rPr>
          <w:szCs w:val="24"/>
          <w:lang w:eastAsia="lt-LT"/>
        </w:rPr>
        <w:t xml:space="preserve"> Aktyvus ir rezultatyvus bendradarbiavimas su maždaug 40 įvairių partnerių (sporto, švietimo, verslo, NVO sektorių), leidęs sėkmingai įgyvendinti didelės apimties projektus ir renginius (partnerių skaičius išaugo lyginant su 2023 m.).</w:t>
      </w:r>
    </w:p>
    <w:p w14:paraId="577457AD" w14:textId="035A2118"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Inovacijų diegimas:</w:t>
      </w:r>
      <w:r>
        <w:rPr>
          <w:szCs w:val="24"/>
          <w:lang w:eastAsia="lt-LT"/>
        </w:rPr>
        <w:t xml:space="preserve"> Sėkmingas VR technologijų integravimas į ugdymo procesą (pradėta 2023 m.), virtualios mokymosi aplinkos diegimas, skaitmeninės sporto ekosistemos koncepcijos parengimas rodo Mokyklos atvirumą naujovėms.</w:t>
      </w:r>
    </w:p>
    <w:p w14:paraId="255461C3" w14:textId="175A6ED2"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Bendruomenės įtraukimas ir poreikių atliepimas:</w:t>
      </w:r>
      <w:r>
        <w:rPr>
          <w:szCs w:val="24"/>
          <w:lang w:eastAsia="lt-LT"/>
        </w:rPr>
        <w:t xml:space="preserve"> Plati ir įvairi renginių pasiūla skirtingoms amžiaus ir interesų grupėms, įskaitant veiklas ne sezono metu ir naujas paslaugas suaugusiesiems (pvz., buriavimo mokymai), rodo gerą orientaciją į bendruomenės poreikius. Didelis renginių dalyvių skaičius (daugiau kaip 5200) ir susidomėjimas naujomis veiklomis patvirtina veiklų aktualumą (renginių ir dalyvių skaičius augo lyginant su 2023 m.).</w:t>
      </w:r>
    </w:p>
    <w:p w14:paraId="31374E7B" w14:textId="29F7829C"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Savanorystės skatinimas:</w:t>
      </w:r>
      <w:r>
        <w:rPr>
          <w:szCs w:val="24"/>
          <w:lang w:eastAsia="lt-LT"/>
        </w:rPr>
        <w:t xml:space="preserve"> Sėkmingai įgyvendinta Jaunimo savanoriškos tarnybos programa, pritraukta 18 savanorių.</w:t>
      </w:r>
    </w:p>
    <w:p w14:paraId="31CA99F4" w14:textId="73A8B368"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lastRenderedPageBreak/>
        <w:t>●</w:t>
      </w:r>
      <w:r>
        <w:rPr>
          <w:rFonts w:ascii="Arial" w:eastAsia="Arial" w:hAnsi="Arial" w:cs="Arial"/>
          <w:color w:val="000000"/>
          <w:sz w:val="22"/>
          <w:szCs w:val="22"/>
          <w:lang w:eastAsia="lt-LT"/>
        </w:rPr>
        <w:tab/>
      </w:r>
      <w:r>
        <w:rPr>
          <w:b/>
          <w:szCs w:val="24"/>
          <w:lang w:eastAsia="lt-LT"/>
        </w:rPr>
        <w:t>Teigiamas įvaizdis ir matomumas:</w:t>
      </w:r>
      <w:r>
        <w:rPr>
          <w:szCs w:val="24"/>
          <w:lang w:eastAsia="lt-LT"/>
        </w:rPr>
        <w:t xml:space="preserve"> Aktyvi komunikacija (daugiau kaip 200 tūkst. naujienų peržiūrų), sėkmingai organizuoti aukšto lygio tarptautiniai renginiai (Pasaulio kurčiųjų čempionatas) formuoja teigiamą Mokyklos ir Neringos įvaizdį (matomumas išliko aukštas).</w:t>
      </w:r>
    </w:p>
    <w:p w14:paraId="4480F43E" w14:textId="067C8FE3"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Mokinių pasiekimai:</w:t>
      </w:r>
      <w:r>
        <w:rPr>
          <w:szCs w:val="24"/>
          <w:lang w:eastAsia="lt-LT"/>
        </w:rPr>
        <w:t xml:space="preserve"> Stabilūs ir aukšti sportiniai rezultatai (52 prizinės vietos) rodo ugdymo programų efektyvumą (rezultatai panašūs į 2023 m.).</w:t>
      </w:r>
    </w:p>
    <w:p w14:paraId="2226B6C2" w14:textId="511AA6C4"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Tėvų įsitraukimas:</w:t>
      </w:r>
      <w:r>
        <w:rPr>
          <w:szCs w:val="24"/>
          <w:lang w:eastAsia="lt-LT"/>
        </w:rPr>
        <w:t xml:space="preserve"> Ataskaitoje pabrėžiamas aktyvus tėvų dalyvavimas Mokyklos veiklose (tęstinė vertybė).</w:t>
      </w:r>
    </w:p>
    <w:p w14:paraId="423DE7D9" w14:textId="469B5BB9" w:rsidR="003060F1" w:rsidRDefault="00E02EFD">
      <w:pPr>
        <w:widowControl w:val="0"/>
        <w:pBdr>
          <w:top w:val="nil"/>
          <w:left w:val="nil"/>
          <w:bottom w:val="nil"/>
          <w:right w:val="nil"/>
          <w:between w:val="nil"/>
        </w:pBdr>
        <w:spacing w:line="275" w:lineRule="auto"/>
        <w:ind w:left="720" w:hanging="360"/>
        <w:jc w:val="both"/>
        <w:rPr>
          <w:b/>
          <w:szCs w:val="24"/>
          <w:lang w:eastAsia="lt-LT"/>
        </w:rPr>
      </w:pPr>
      <w:r>
        <w:rPr>
          <w:b/>
          <w:szCs w:val="24"/>
          <w:lang w:eastAsia="lt-LT"/>
        </w:rPr>
        <w:t>3.3.</w:t>
      </w:r>
      <w:r>
        <w:rPr>
          <w:b/>
          <w:szCs w:val="24"/>
          <w:lang w:eastAsia="lt-LT"/>
        </w:rPr>
        <w:tab/>
        <w:t> Veiklos rezultatų vertinimo rodiklių lyginamoji analizė</w:t>
      </w:r>
    </w:p>
    <w:p w14:paraId="5BF45296" w14:textId="1346E6E3" w:rsidR="003060F1" w:rsidRDefault="00E02EFD">
      <w:pPr>
        <w:widowControl w:val="0"/>
        <w:pBdr>
          <w:top w:val="nil"/>
          <w:left w:val="nil"/>
          <w:bottom w:val="nil"/>
          <w:right w:val="nil"/>
          <w:between w:val="nil"/>
        </w:pBdr>
        <w:spacing w:line="275" w:lineRule="auto"/>
        <w:jc w:val="both"/>
        <w:rPr>
          <w:szCs w:val="24"/>
          <w:lang w:eastAsia="lt-LT"/>
        </w:rPr>
      </w:pPr>
      <w:r>
        <w:rPr>
          <w:szCs w:val="24"/>
          <w:lang w:eastAsia="lt-LT"/>
        </w:rPr>
        <w:t>Palyginus 2024 m. strateginiame plane numatytus rodiklius su faktiniais 2024 m. veiklos ataskaitos rezultatais bei atsižvelgus į 2023 m. duomenis, matomos šios tendencijos:</w:t>
      </w:r>
    </w:p>
    <w:p w14:paraId="47112DC4" w14:textId="6701C586"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Veiklos apimties augimas:</w:t>
      </w:r>
      <w:r>
        <w:rPr>
          <w:szCs w:val="24"/>
          <w:lang w:eastAsia="lt-LT"/>
        </w:rPr>
        <w:t xml:space="preserve"> 2024 metais ženkliai išaugo organizuotų veiklų ir renginių skaičius (nuo 171 iki 243), partnerių skaičius (nuo ~26 iki ~40) bei profesionalių</w:t>
      </w:r>
      <w:r w:rsidR="001B18C0">
        <w:rPr>
          <w:szCs w:val="24"/>
          <w:lang w:eastAsia="lt-LT"/>
        </w:rPr>
        <w:t xml:space="preserve"> / m</w:t>
      </w:r>
      <w:r>
        <w:rPr>
          <w:szCs w:val="24"/>
          <w:lang w:eastAsia="lt-LT"/>
        </w:rPr>
        <w:t>ėgėjų varžybų ir jų dalyvių skaičius (nuo 10 renginių/700 dalyvių iki 35 renginių/~4000 dalyvių). Tai rodo didėjančias Mokyklos veiklos apimtis ir aktyvumą. Strateginiame plane numatytas renginių skaičius (30) buvo viršytas daug kartų – tai rodo ambicingą planą ir dar didesnį faktinį jo įgyvendinimą.</w:t>
      </w:r>
    </w:p>
    <w:p w14:paraId="791599E8" w14:textId="32C0864F"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Strateginių projektų tęstinumas ir plėtra:</w:t>
      </w:r>
      <w:r>
        <w:rPr>
          <w:szCs w:val="24"/>
          <w:lang w:eastAsia="lt-LT"/>
        </w:rPr>
        <w:t xml:space="preserve"> Sėkmingai tęsiami ilgalaikiai projektai, tokie kaip orientavimosi žaidimas „Atrask Kuršių neriją – laimėk „Škoda“ prizus“, „Neringos sporto mokyklos vasaros akademija“, „Būk fiziškai aktyvus“. Programa „Buriavimas visiems“ išplėsta (nuo 7 iki 12 stovyklų).</w:t>
      </w:r>
    </w:p>
    <w:p w14:paraId="4CBE5417" w14:textId="63403F12"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Sportiniai rezultatai:</w:t>
      </w:r>
      <w:r>
        <w:rPr>
          <w:szCs w:val="24"/>
          <w:lang w:eastAsia="lt-LT"/>
        </w:rPr>
        <w:t xml:space="preserve"> Iškovotų prizinių vietų skaičius išliko stabiliai aukštas (52, 2023 m. – 50).</w:t>
      </w:r>
    </w:p>
    <w:p w14:paraId="3CACC51B" w14:textId="09943CBD"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Infrastruktūros ir inventoriaus gerinimas:</w:t>
      </w:r>
      <w:r>
        <w:rPr>
          <w:szCs w:val="24"/>
          <w:lang w:eastAsia="lt-LT"/>
        </w:rPr>
        <w:t xml:space="preserve"> Tęsiamas nuoseklus inventoriaus atnaujinimas (2023 m. sudarytos sutartys, 2024 m. įsigytas inventorius) ir infrastruktūros gerinimas (2023 m. įrengtas tiltelis</w:t>
      </w:r>
      <w:r w:rsidR="001B18C0">
        <w:rPr>
          <w:szCs w:val="24"/>
          <w:lang w:eastAsia="lt-LT"/>
        </w:rPr>
        <w:t xml:space="preserve">. </w:t>
      </w:r>
      <w:r>
        <w:rPr>
          <w:szCs w:val="24"/>
          <w:lang w:eastAsia="lt-LT"/>
        </w:rPr>
        <w:t>Fizinio aktyvumo erdvių atnaujinimo planas (3 vnt.) įgyvendintas.</w:t>
      </w:r>
      <w:r w:rsidR="001B18C0" w:rsidRPr="001B18C0">
        <w:rPr>
          <w:szCs w:val="24"/>
          <w:lang w:eastAsia="lt-LT"/>
        </w:rPr>
        <w:t xml:space="preserve"> </w:t>
      </w:r>
      <w:r w:rsidR="001B18C0">
        <w:rPr>
          <w:szCs w:val="24"/>
          <w:lang w:eastAsia="lt-LT"/>
        </w:rPr>
        <w:t>Planuotas inventoriaus kiekis (12 vnt.).</w:t>
      </w:r>
    </w:p>
    <w:p w14:paraId="4B1272FA" w14:textId="6A238216"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proofErr w:type="spellStart"/>
      <w:r>
        <w:rPr>
          <w:b/>
          <w:szCs w:val="24"/>
          <w:lang w:eastAsia="lt-LT"/>
        </w:rPr>
        <w:t>Skaitmenizacija</w:t>
      </w:r>
      <w:proofErr w:type="spellEnd"/>
      <w:r>
        <w:rPr>
          <w:b/>
          <w:szCs w:val="24"/>
          <w:lang w:eastAsia="lt-LT"/>
        </w:rPr>
        <w:t>:</w:t>
      </w:r>
      <w:r>
        <w:rPr>
          <w:szCs w:val="24"/>
          <w:lang w:eastAsia="lt-LT"/>
        </w:rPr>
        <w:t xml:space="preserve"> Pradėtas VR technologijų diegimas 2023 m., o 2024 m. veiklos tęsiamos, įdiegta virtuali mokymo aplinka. Pradėti rengti skaitmeniniai mokymo ištekliai.</w:t>
      </w:r>
    </w:p>
    <w:p w14:paraId="1DD1B651" w14:textId="141FAA0D"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Žmogiškieji ištekliai:</w:t>
      </w:r>
      <w:r>
        <w:rPr>
          <w:szCs w:val="24"/>
          <w:lang w:eastAsia="lt-LT"/>
        </w:rPr>
        <w:t xml:space="preserve"> Išlaikytas stabilus darbuotojų skaičius (10), tęsiamas jų kvalifikacijos </w:t>
      </w:r>
      <w:r w:rsidR="001B18C0">
        <w:rPr>
          <w:szCs w:val="24"/>
          <w:lang w:eastAsia="lt-LT"/>
        </w:rPr>
        <w:t>tobulinimas</w:t>
      </w:r>
      <w:r>
        <w:rPr>
          <w:szCs w:val="24"/>
          <w:lang w:eastAsia="lt-LT"/>
        </w:rPr>
        <w:t>. Ženkliai išaugo pritrauktų savanorių skaičius (18).</w:t>
      </w:r>
    </w:p>
    <w:p w14:paraId="114BFE92" w14:textId="544C3DE2"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Matomumas:</w:t>
      </w:r>
      <w:r>
        <w:rPr>
          <w:szCs w:val="24"/>
          <w:lang w:eastAsia="lt-LT"/>
        </w:rPr>
        <w:t xml:space="preserve"> Naujienų pasiekiamumas išliko aukštas (daugiau kaip 200 tūkst. peržiūrų).</w:t>
      </w:r>
    </w:p>
    <w:p w14:paraId="2B71E2E9" w14:textId="05C29612" w:rsidR="003060F1" w:rsidRDefault="00E02EFD">
      <w:pPr>
        <w:widowControl w:val="0"/>
        <w:pBdr>
          <w:top w:val="nil"/>
          <w:left w:val="nil"/>
          <w:bottom w:val="nil"/>
          <w:right w:val="nil"/>
          <w:between w:val="nil"/>
        </w:pBdr>
        <w:spacing w:line="275" w:lineRule="auto"/>
        <w:jc w:val="both"/>
        <w:rPr>
          <w:szCs w:val="24"/>
          <w:lang w:eastAsia="lt-LT"/>
        </w:rPr>
      </w:pPr>
      <w:r>
        <w:rPr>
          <w:b/>
          <w:szCs w:val="24"/>
          <w:lang w:eastAsia="lt-LT"/>
        </w:rPr>
        <w:t>Išvados:</w:t>
      </w:r>
      <w:r>
        <w:rPr>
          <w:szCs w:val="24"/>
          <w:lang w:eastAsia="lt-LT"/>
        </w:rPr>
        <w:t xml:space="preserve"> 2024 metai pasižymėjo reikšmingu veiklos masto augimu, ypač renginių organizavimo, partnerių pritraukimo ir dalyvių įtraukimo srityse, palyginus su 2023 m. Sėkmingai tęsiami ir plečiami strateginiai projektai, išlaikomi aukšti sportiniai rezultatai ir nuosekliai gerinama materialinė bazė bei keliama darbuotojų kvalifikacija. Dauguma 2024 m. planuotų rodiklių, susijusių su veiklos aktyvumu, buvo ženkliai viršyti. Kai kurie infrastruktūros ir </w:t>
      </w:r>
      <w:proofErr w:type="spellStart"/>
      <w:r>
        <w:rPr>
          <w:szCs w:val="24"/>
          <w:lang w:eastAsia="lt-LT"/>
        </w:rPr>
        <w:t>skaitmenizacijos</w:t>
      </w:r>
      <w:proofErr w:type="spellEnd"/>
      <w:r>
        <w:rPr>
          <w:szCs w:val="24"/>
          <w:lang w:eastAsia="lt-LT"/>
        </w:rPr>
        <w:t xml:space="preserve"> planai reikalauja tolesnio įgyvendinimo.</w:t>
      </w:r>
    </w:p>
    <w:p w14:paraId="4B1ABD24" w14:textId="77777777" w:rsidR="003060F1" w:rsidRDefault="003060F1">
      <w:pPr>
        <w:widowControl w:val="0"/>
        <w:pBdr>
          <w:top w:val="nil"/>
          <w:left w:val="nil"/>
          <w:bottom w:val="nil"/>
          <w:right w:val="nil"/>
          <w:between w:val="nil"/>
        </w:pBdr>
        <w:spacing w:line="275" w:lineRule="auto"/>
        <w:jc w:val="both"/>
        <w:rPr>
          <w:i/>
          <w:szCs w:val="24"/>
          <w:lang w:eastAsia="lt-LT"/>
        </w:rPr>
      </w:pPr>
    </w:p>
    <w:p w14:paraId="5BD6E644" w14:textId="191CF986" w:rsidR="003060F1" w:rsidRDefault="00E02EFD" w:rsidP="001B18C0">
      <w:pPr>
        <w:widowControl w:val="0"/>
        <w:pBdr>
          <w:top w:val="nil"/>
          <w:left w:val="nil"/>
          <w:bottom w:val="nil"/>
          <w:right w:val="nil"/>
          <w:between w:val="nil"/>
        </w:pBdr>
        <w:spacing w:line="275" w:lineRule="auto"/>
        <w:ind w:firstLine="284"/>
        <w:jc w:val="both"/>
        <w:rPr>
          <w:b/>
          <w:szCs w:val="24"/>
          <w:lang w:eastAsia="lt-LT"/>
        </w:rPr>
      </w:pPr>
      <w:r>
        <w:rPr>
          <w:b/>
          <w:szCs w:val="24"/>
          <w:lang w:eastAsia="lt-LT"/>
        </w:rPr>
        <w:t>4. Veiklos rezultatai, pasiekti vykdant strateginį veiklos planą</w:t>
      </w:r>
    </w:p>
    <w:p w14:paraId="5E4CB6E3" w14:textId="352645E1" w:rsidR="003060F1" w:rsidRDefault="00E02EFD" w:rsidP="001B18C0">
      <w:pPr>
        <w:widowControl w:val="0"/>
        <w:pBdr>
          <w:top w:val="nil"/>
          <w:left w:val="nil"/>
          <w:bottom w:val="nil"/>
          <w:right w:val="nil"/>
          <w:between w:val="nil"/>
        </w:pBdr>
        <w:spacing w:line="275" w:lineRule="auto"/>
        <w:ind w:firstLine="284"/>
        <w:jc w:val="both"/>
        <w:rPr>
          <w:szCs w:val="24"/>
          <w:lang w:eastAsia="lt-LT"/>
        </w:rPr>
      </w:pPr>
      <w:r>
        <w:rPr>
          <w:szCs w:val="24"/>
          <w:lang w:eastAsia="lt-LT"/>
        </w:rPr>
        <w:t xml:space="preserve">Visi šioje ataskaitoje aprašyti Neringos sporto mokyklos 2024 metų veiklos rezultatai buvo pasiekti tiesiogiai įgyvendinant Mokyklos, kaip biudžetinės įstaigos ir asignavimų valdytojo, 2024–2026 m. strateginį veiklos planą. Rezultatai rodo pažangą siekiant visų trijų strateginių tikslų: plėtojant buriavimo ir orientavimosi sporto bei fizinio aktyvumo programas, plėtojant skaitmeninę platformą ir skatinant fizinį aktyvumą, tvarumą, </w:t>
      </w:r>
      <w:proofErr w:type="spellStart"/>
      <w:r>
        <w:rPr>
          <w:szCs w:val="24"/>
          <w:lang w:eastAsia="lt-LT"/>
        </w:rPr>
        <w:t>įtrauktį</w:t>
      </w:r>
      <w:proofErr w:type="spellEnd"/>
      <w:r>
        <w:rPr>
          <w:szCs w:val="24"/>
          <w:lang w:eastAsia="lt-LT"/>
        </w:rPr>
        <w:t xml:space="preserve"> bei bendruomenės dalyvavimą.</w:t>
      </w:r>
    </w:p>
    <w:p w14:paraId="401109CB" w14:textId="77777777" w:rsidR="003060F1" w:rsidRDefault="003060F1">
      <w:pPr>
        <w:widowControl w:val="0"/>
        <w:pBdr>
          <w:top w:val="nil"/>
          <w:left w:val="nil"/>
          <w:bottom w:val="nil"/>
          <w:right w:val="nil"/>
          <w:between w:val="nil"/>
        </w:pBdr>
        <w:spacing w:line="275" w:lineRule="auto"/>
        <w:jc w:val="both"/>
        <w:rPr>
          <w:i/>
          <w:szCs w:val="24"/>
          <w:lang w:eastAsia="lt-LT"/>
        </w:rPr>
      </w:pPr>
    </w:p>
    <w:p w14:paraId="58C7F982" w14:textId="43011504" w:rsidR="003060F1" w:rsidRDefault="00E02EFD">
      <w:pPr>
        <w:widowControl w:val="0"/>
        <w:pBdr>
          <w:top w:val="nil"/>
          <w:left w:val="nil"/>
          <w:bottom w:val="nil"/>
          <w:right w:val="nil"/>
          <w:between w:val="nil"/>
        </w:pBdr>
        <w:spacing w:line="275" w:lineRule="auto"/>
        <w:jc w:val="center"/>
        <w:rPr>
          <w:b/>
          <w:bCs/>
          <w:iCs/>
          <w:szCs w:val="24"/>
          <w:lang w:eastAsia="lt-LT"/>
        </w:rPr>
      </w:pPr>
      <w:r>
        <w:rPr>
          <w:b/>
          <w:bCs/>
          <w:iCs/>
          <w:szCs w:val="24"/>
          <w:lang w:eastAsia="lt-LT"/>
        </w:rPr>
        <w:lastRenderedPageBreak/>
        <w:t>III SKYRIUS</w:t>
      </w:r>
    </w:p>
    <w:p w14:paraId="68B176BA" w14:textId="02CBC2E3" w:rsidR="003060F1" w:rsidRDefault="00E02EFD">
      <w:pPr>
        <w:widowControl w:val="0"/>
        <w:pBdr>
          <w:top w:val="nil"/>
          <w:left w:val="nil"/>
          <w:bottom w:val="nil"/>
          <w:right w:val="nil"/>
          <w:between w:val="nil"/>
        </w:pBdr>
        <w:spacing w:line="275" w:lineRule="auto"/>
        <w:jc w:val="center"/>
        <w:rPr>
          <w:b/>
          <w:szCs w:val="24"/>
          <w:lang w:eastAsia="lt-LT"/>
        </w:rPr>
      </w:pPr>
      <w:r>
        <w:rPr>
          <w:b/>
          <w:szCs w:val="24"/>
          <w:lang w:eastAsia="lt-LT"/>
        </w:rPr>
        <w:t>KITA SVARBI SU SUBJEKTO VEIKLA SUSIJUSI INFORMACIJA</w:t>
      </w:r>
    </w:p>
    <w:p w14:paraId="46A01236" w14:textId="77777777" w:rsidR="003060F1" w:rsidRDefault="003060F1">
      <w:pPr>
        <w:widowControl w:val="0"/>
        <w:pBdr>
          <w:top w:val="nil"/>
          <w:left w:val="nil"/>
          <w:bottom w:val="nil"/>
          <w:right w:val="nil"/>
          <w:between w:val="nil"/>
        </w:pBdr>
        <w:spacing w:line="275" w:lineRule="auto"/>
        <w:jc w:val="center"/>
        <w:rPr>
          <w:b/>
          <w:szCs w:val="24"/>
          <w:lang w:eastAsia="lt-LT"/>
        </w:rPr>
      </w:pPr>
    </w:p>
    <w:p w14:paraId="7B24B06F" w14:textId="6ABC4913"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Planuojami veiklos pokyčiai ir laukiami rezultatai:</w:t>
      </w:r>
      <w:r>
        <w:rPr>
          <w:szCs w:val="24"/>
          <w:lang w:eastAsia="lt-LT"/>
        </w:rPr>
        <w:t xml:space="preserve"> Pagal strateginį planą, toliau numatoma plėtoti veiklas ir skatinti fizinį aktyvumą plečiant bendradarbiavimą, </w:t>
      </w:r>
      <w:proofErr w:type="spellStart"/>
      <w:r>
        <w:rPr>
          <w:szCs w:val="24"/>
          <w:lang w:eastAsia="lt-LT"/>
        </w:rPr>
        <w:t>įtraukties</w:t>
      </w:r>
      <w:proofErr w:type="spellEnd"/>
      <w:r>
        <w:rPr>
          <w:szCs w:val="24"/>
          <w:lang w:eastAsia="lt-LT"/>
        </w:rPr>
        <w:t xml:space="preserve"> didinimą, nuotolinį mokymą, fizinio aktyvumo erdvių atnaujinimą, tarptautinių varžybų ir stovyklų organizavimą, platesnes Mokyklos galimybes įgyvendinti misiją per tarptautines partnerystes, dalijimąsi gerąja patirtimi.</w:t>
      </w:r>
    </w:p>
    <w:p w14:paraId="49917D9F" w14:textId="29F302B9"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Veiklos rizikos ir iššūkiai:</w:t>
      </w:r>
      <w:r>
        <w:rPr>
          <w:szCs w:val="24"/>
          <w:lang w:eastAsia="lt-LT"/>
        </w:rPr>
        <w:t xml:space="preserve"> Strateginio plano ir veiklos SSGG analizėje įvardintos silpnybės ir grėsmės, kurios gali būti laikomos veiklos rizikomis: poreikis papildomoms uždaroms erdvėms šaltuoju sezonu, didelis sportuojančių mokinių užimtumas, mažėjantis mokinių skaičius dėl demografinių priežasčių, mokinių motyvacijos mažėjimas ir sveikatos problemos, dokumentacijos gausa.</w:t>
      </w:r>
    </w:p>
    <w:p w14:paraId="6D8D1ACB" w14:textId="595EEE90" w:rsidR="003060F1" w:rsidRDefault="00E02EFD">
      <w:pPr>
        <w:widowControl w:val="0"/>
        <w:pBdr>
          <w:top w:val="nil"/>
          <w:left w:val="nil"/>
          <w:bottom w:val="nil"/>
          <w:right w:val="nil"/>
          <w:between w:val="nil"/>
        </w:pBdr>
        <w:spacing w:line="275" w:lineRule="auto"/>
        <w:ind w:left="600" w:hanging="360"/>
        <w:jc w:val="both"/>
        <w:rPr>
          <w:rFonts w:ascii="Arial" w:eastAsia="Arial" w:hAnsi="Arial" w:cs="Arial"/>
          <w:szCs w:val="24"/>
          <w:lang w:eastAsia="lt-LT"/>
        </w:rPr>
      </w:pPr>
      <w:r>
        <w:rPr>
          <w:rFonts w:ascii="Arial" w:eastAsia="Arial" w:hAnsi="Arial" w:cs="Arial"/>
          <w:color w:val="000000"/>
          <w:sz w:val="22"/>
          <w:szCs w:val="22"/>
          <w:lang w:eastAsia="lt-LT"/>
        </w:rPr>
        <w:t>●</w:t>
      </w:r>
      <w:r>
        <w:rPr>
          <w:rFonts w:ascii="Arial" w:eastAsia="Arial" w:hAnsi="Arial" w:cs="Arial"/>
          <w:color w:val="000000"/>
          <w:sz w:val="22"/>
          <w:szCs w:val="22"/>
          <w:lang w:eastAsia="lt-LT"/>
        </w:rPr>
        <w:tab/>
      </w:r>
      <w:r>
        <w:rPr>
          <w:b/>
          <w:szCs w:val="24"/>
          <w:lang w:eastAsia="lt-LT"/>
        </w:rPr>
        <w:t>Finansinės ataskaitos:</w:t>
      </w:r>
      <w:r>
        <w:rPr>
          <w:szCs w:val="24"/>
          <w:lang w:eastAsia="lt-LT"/>
        </w:rPr>
        <w:t xml:space="preserve"> Detalios finansinės ataskaitos yra pateikiamos kaip atskiri šios veiklos ataskaitos priedai.</w:t>
      </w:r>
    </w:p>
    <w:p w14:paraId="1B9AB323" w14:textId="77777777" w:rsidR="003060F1" w:rsidRDefault="003060F1">
      <w:pPr>
        <w:widowControl w:val="0"/>
        <w:pBdr>
          <w:top w:val="nil"/>
          <w:left w:val="nil"/>
          <w:bottom w:val="nil"/>
          <w:right w:val="nil"/>
          <w:between w:val="nil"/>
        </w:pBdr>
        <w:spacing w:line="275" w:lineRule="auto"/>
        <w:jc w:val="both"/>
        <w:rPr>
          <w:rFonts w:eastAsia="Arial"/>
          <w:szCs w:val="24"/>
          <w:lang w:eastAsia="lt-LT"/>
        </w:rPr>
      </w:pPr>
    </w:p>
    <w:p w14:paraId="0BA0ED47" w14:textId="37823DE2" w:rsidR="003060F1" w:rsidRDefault="00E02EFD">
      <w:pPr>
        <w:widowControl w:val="0"/>
        <w:pBdr>
          <w:top w:val="nil"/>
          <w:left w:val="nil"/>
          <w:bottom w:val="nil"/>
          <w:right w:val="nil"/>
          <w:between w:val="nil"/>
        </w:pBdr>
        <w:spacing w:line="275" w:lineRule="auto"/>
        <w:jc w:val="center"/>
        <w:rPr>
          <w:rFonts w:eastAsia="Arial"/>
          <w:szCs w:val="24"/>
          <w:lang w:eastAsia="lt-LT"/>
        </w:rPr>
      </w:pPr>
      <w:r>
        <w:rPr>
          <w:rFonts w:eastAsia="Arial"/>
          <w:szCs w:val="24"/>
          <w:lang w:eastAsia="lt-LT"/>
        </w:rPr>
        <w:t>____________________</w:t>
      </w:r>
    </w:p>
    <w:p w14:paraId="278D6705" w14:textId="77777777" w:rsidR="003060F1" w:rsidRDefault="003060F1">
      <w:pPr>
        <w:widowControl w:val="0"/>
        <w:pBdr>
          <w:top w:val="nil"/>
          <w:left w:val="nil"/>
          <w:bottom w:val="nil"/>
          <w:right w:val="nil"/>
          <w:between w:val="nil"/>
        </w:pBdr>
        <w:spacing w:line="275" w:lineRule="auto"/>
        <w:jc w:val="center"/>
        <w:rPr>
          <w:rFonts w:eastAsia="Arial"/>
          <w:szCs w:val="24"/>
          <w:lang w:eastAsia="lt-LT"/>
        </w:rPr>
      </w:pPr>
    </w:p>
    <w:p w14:paraId="1F24B667" w14:textId="234A595A" w:rsidR="003060F1" w:rsidRDefault="00E02EFD">
      <w:pPr>
        <w:widowControl w:val="0"/>
        <w:pBdr>
          <w:top w:val="nil"/>
          <w:left w:val="nil"/>
          <w:bottom w:val="nil"/>
          <w:right w:val="nil"/>
          <w:between w:val="nil"/>
        </w:pBdr>
        <w:spacing w:line="275" w:lineRule="auto"/>
        <w:rPr>
          <w:rFonts w:eastAsia="Arial"/>
          <w:szCs w:val="24"/>
          <w:lang w:eastAsia="lt-LT"/>
        </w:rPr>
      </w:pPr>
      <w:r>
        <w:rPr>
          <w:rFonts w:eastAsia="Arial"/>
          <w:szCs w:val="24"/>
          <w:lang w:eastAsia="lt-LT"/>
        </w:rPr>
        <w:t>PRITARTA:</w:t>
      </w:r>
    </w:p>
    <w:p w14:paraId="4FE3EAA2" w14:textId="60D3AB18" w:rsidR="003060F1" w:rsidRDefault="00E02EFD">
      <w:pPr>
        <w:widowControl w:val="0"/>
        <w:pBdr>
          <w:top w:val="nil"/>
          <w:left w:val="nil"/>
          <w:bottom w:val="nil"/>
          <w:right w:val="nil"/>
          <w:between w:val="nil"/>
        </w:pBdr>
        <w:spacing w:line="275" w:lineRule="auto"/>
        <w:rPr>
          <w:rFonts w:eastAsia="Arial"/>
          <w:szCs w:val="24"/>
          <w:lang w:eastAsia="lt-LT"/>
        </w:rPr>
      </w:pPr>
      <w:r>
        <w:rPr>
          <w:rFonts w:eastAsia="Arial"/>
          <w:szCs w:val="24"/>
          <w:lang w:eastAsia="lt-LT"/>
        </w:rPr>
        <w:t>Neringos sporto mokyklos tarybos</w:t>
      </w:r>
    </w:p>
    <w:p w14:paraId="6499E01B" w14:textId="77777777" w:rsidR="003060F1" w:rsidRDefault="00E02EFD">
      <w:pPr>
        <w:widowControl w:val="0"/>
        <w:pBdr>
          <w:top w:val="nil"/>
          <w:left w:val="nil"/>
          <w:bottom w:val="nil"/>
          <w:right w:val="nil"/>
          <w:between w:val="nil"/>
        </w:pBdr>
        <w:spacing w:line="275" w:lineRule="auto"/>
        <w:rPr>
          <w:rFonts w:eastAsia="Arial"/>
          <w:szCs w:val="24"/>
          <w:lang w:eastAsia="lt-LT"/>
        </w:rPr>
      </w:pPr>
      <w:r>
        <w:rPr>
          <w:rFonts w:eastAsia="Arial"/>
          <w:szCs w:val="24"/>
          <w:lang w:eastAsia="lt-LT"/>
        </w:rPr>
        <w:t>2025 m. kovo 12 d. posėdyje (protokolas Nr. 6)</w:t>
      </w:r>
    </w:p>
    <w:p w14:paraId="3FD56C8E" w14:textId="77777777" w:rsidR="003060F1" w:rsidRDefault="003060F1">
      <w:pPr>
        <w:widowControl w:val="0"/>
        <w:pBdr>
          <w:top w:val="nil"/>
          <w:left w:val="nil"/>
          <w:bottom w:val="nil"/>
          <w:right w:val="nil"/>
          <w:between w:val="nil"/>
        </w:pBdr>
        <w:spacing w:line="275" w:lineRule="auto"/>
        <w:rPr>
          <w:rFonts w:eastAsia="Arial"/>
          <w:szCs w:val="24"/>
          <w:lang w:eastAsia="lt-LT"/>
        </w:rPr>
      </w:pPr>
    </w:p>
    <w:sectPr w:rsidR="003060F1">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426"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E466" w14:textId="77777777" w:rsidR="00A91E2E" w:rsidRDefault="00A91E2E">
      <w:pPr>
        <w:widowControl w:val="0"/>
        <w:rPr>
          <w:rFonts w:ascii="Arial" w:eastAsia="Arial" w:hAnsi="Arial" w:cs="Arial"/>
          <w:sz w:val="22"/>
          <w:szCs w:val="22"/>
          <w:lang w:eastAsia="lt-LT"/>
        </w:rPr>
      </w:pPr>
      <w:r>
        <w:rPr>
          <w:rFonts w:ascii="Arial" w:eastAsia="Arial" w:hAnsi="Arial" w:cs="Arial"/>
          <w:sz w:val="22"/>
          <w:szCs w:val="22"/>
          <w:lang w:eastAsia="lt-LT"/>
        </w:rPr>
        <w:separator/>
      </w:r>
    </w:p>
  </w:endnote>
  <w:endnote w:type="continuationSeparator" w:id="0">
    <w:p w14:paraId="18F97FE3" w14:textId="77777777" w:rsidR="00A91E2E" w:rsidRDefault="00A91E2E">
      <w:pPr>
        <w:widowControl w:val="0"/>
        <w:rPr>
          <w:rFonts w:ascii="Arial" w:eastAsia="Arial" w:hAnsi="Arial" w:cs="Arial"/>
          <w:sz w:val="22"/>
          <w:szCs w:val="22"/>
          <w:lang w:eastAsia="lt-LT"/>
        </w:rPr>
      </w:pPr>
      <w:r>
        <w:rPr>
          <w:rFonts w:ascii="Arial" w:eastAsia="Arial" w:hAnsi="Arial" w:cs="Arial"/>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C8A3" w14:textId="77777777" w:rsidR="003060F1" w:rsidRDefault="003060F1">
    <w:pPr>
      <w:widowControl w:val="0"/>
      <w:tabs>
        <w:tab w:val="center" w:pos="4819"/>
        <w:tab w:val="right" w:pos="9638"/>
      </w:tabs>
      <w:rPr>
        <w:rFonts w:ascii="Arial" w:eastAsia="Arial" w:hAnsi="Arial" w:cs="Arial"/>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EC7D" w14:textId="77777777" w:rsidR="003060F1" w:rsidRDefault="003060F1">
    <w:pPr>
      <w:widowControl w:val="0"/>
      <w:tabs>
        <w:tab w:val="center" w:pos="4819"/>
        <w:tab w:val="right" w:pos="9638"/>
      </w:tabs>
      <w:rPr>
        <w:rFonts w:ascii="Arial" w:eastAsia="Arial" w:hAnsi="Arial" w:cs="Arial"/>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053" w14:textId="77777777" w:rsidR="003060F1" w:rsidRDefault="003060F1">
    <w:pPr>
      <w:widowControl w:val="0"/>
      <w:tabs>
        <w:tab w:val="center" w:pos="4819"/>
        <w:tab w:val="right" w:pos="9638"/>
      </w:tabs>
      <w:rPr>
        <w:rFonts w:ascii="Arial" w:eastAsia="Arial" w:hAnsi="Arial" w:cs="Arial"/>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3319" w14:textId="77777777" w:rsidR="00A91E2E" w:rsidRDefault="00A91E2E">
      <w:pPr>
        <w:widowControl w:val="0"/>
        <w:rPr>
          <w:rFonts w:ascii="Arial" w:eastAsia="Arial" w:hAnsi="Arial" w:cs="Arial"/>
          <w:sz w:val="22"/>
          <w:szCs w:val="22"/>
          <w:lang w:eastAsia="lt-LT"/>
        </w:rPr>
      </w:pPr>
      <w:r>
        <w:rPr>
          <w:rFonts w:ascii="Arial" w:eastAsia="Arial" w:hAnsi="Arial" w:cs="Arial"/>
          <w:sz w:val="22"/>
          <w:szCs w:val="22"/>
          <w:lang w:eastAsia="lt-LT"/>
        </w:rPr>
        <w:separator/>
      </w:r>
    </w:p>
  </w:footnote>
  <w:footnote w:type="continuationSeparator" w:id="0">
    <w:p w14:paraId="4CB375B3" w14:textId="77777777" w:rsidR="00A91E2E" w:rsidRDefault="00A91E2E">
      <w:pPr>
        <w:widowControl w:val="0"/>
        <w:rPr>
          <w:rFonts w:ascii="Arial" w:eastAsia="Arial" w:hAnsi="Arial" w:cs="Arial"/>
          <w:sz w:val="22"/>
          <w:szCs w:val="22"/>
          <w:lang w:eastAsia="lt-LT"/>
        </w:rPr>
      </w:pPr>
      <w:r>
        <w:rPr>
          <w:rFonts w:ascii="Arial" w:eastAsia="Arial" w:hAnsi="Arial" w:cs="Arial"/>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2BA" w14:textId="77777777" w:rsidR="003060F1" w:rsidRDefault="003060F1">
    <w:pPr>
      <w:widowControl w:val="0"/>
      <w:tabs>
        <w:tab w:val="center" w:pos="4819"/>
        <w:tab w:val="right" w:pos="9638"/>
      </w:tabs>
      <w:rPr>
        <w:rFonts w:ascii="Arial" w:eastAsia="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FEE5" w14:textId="48E500B2" w:rsidR="003060F1" w:rsidRDefault="00E02EFD">
    <w:pPr>
      <w:widowControl w:val="0"/>
      <w:tabs>
        <w:tab w:val="center" w:pos="4819"/>
        <w:tab w:val="right" w:pos="9638"/>
      </w:tabs>
      <w:jc w:val="center"/>
      <w:rPr>
        <w:rFonts w:eastAsia="Arial"/>
        <w:sz w:val="22"/>
        <w:szCs w:val="22"/>
        <w:lang w:eastAsia="lt-LT"/>
      </w:rPr>
    </w:pPr>
    <w:r>
      <w:rPr>
        <w:rFonts w:eastAsia="Arial"/>
        <w:sz w:val="22"/>
        <w:szCs w:val="22"/>
        <w:lang w:eastAsia="lt-LT"/>
      </w:rPr>
      <w:fldChar w:fldCharType="begin"/>
    </w:r>
    <w:r>
      <w:rPr>
        <w:rFonts w:eastAsia="Arial"/>
        <w:sz w:val="22"/>
        <w:szCs w:val="22"/>
        <w:lang w:eastAsia="lt-LT"/>
      </w:rPr>
      <w:instrText>PAGE   \* MERGEFORMAT</w:instrText>
    </w:r>
    <w:r>
      <w:rPr>
        <w:rFonts w:eastAsia="Arial"/>
        <w:sz w:val="22"/>
        <w:szCs w:val="22"/>
        <w:lang w:eastAsia="lt-LT"/>
      </w:rPr>
      <w:fldChar w:fldCharType="separate"/>
    </w:r>
    <w:r>
      <w:rPr>
        <w:rFonts w:eastAsia="Arial"/>
        <w:sz w:val="22"/>
        <w:szCs w:val="22"/>
        <w:lang w:eastAsia="lt-LT"/>
      </w:rPr>
      <w:t>2</w:t>
    </w:r>
    <w:r>
      <w:rPr>
        <w:rFonts w:eastAsia="Arial"/>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3421" w14:textId="77777777" w:rsidR="003060F1" w:rsidRDefault="003060F1">
    <w:pPr>
      <w:widowControl w:val="0"/>
      <w:tabs>
        <w:tab w:val="center" w:pos="4819"/>
        <w:tab w:val="right" w:pos="9638"/>
      </w:tabs>
      <w:rPr>
        <w:rFonts w:ascii="Arial" w:eastAsia="Arial" w:hAnsi="Arial" w:cs="Arial"/>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FB"/>
    <w:rsid w:val="001006FD"/>
    <w:rsid w:val="001B18C0"/>
    <w:rsid w:val="001C1760"/>
    <w:rsid w:val="003060F1"/>
    <w:rsid w:val="003F4E42"/>
    <w:rsid w:val="004F262B"/>
    <w:rsid w:val="005321FB"/>
    <w:rsid w:val="00632E88"/>
    <w:rsid w:val="00811603"/>
    <w:rsid w:val="00816E7A"/>
    <w:rsid w:val="009A124E"/>
    <w:rsid w:val="00A91E2E"/>
    <w:rsid w:val="00BB2706"/>
    <w:rsid w:val="00E02EFD"/>
    <w:rsid w:val="00E93985"/>
    <w:rsid w:val="00F73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C47B4"/>
  <w15:docId w15:val="{EFD51F92-B926-4A82-AB33-AC59AF70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4571">
      <w:bodyDiv w:val="1"/>
      <w:marLeft w:val="0"/>
      <w:marRight w:val="0"/>
      <w:marTop w:val="0"/>
      <w:marBottom w:val="0"/>
      <w:divBdr>
        <w:top w:val="none" w:sz="0" w:space="0" w:color="auto"/>
        <w:left w:val="none" w:sz="0" w:space="0" w:color="auto"/>
        <w:bottom w:val="none" w:sz="0" w:space="0" w:color="auto"/>
        <w:right w:val="none" w:sz="0" w:space="0" w:color="auto"/>
      </w:divBdr>
      <w:divsChild>
        <w:div w:id="845559209">
          <w:marLeft w:val="0"/>
          <w:marRight w:val="0"/>
          <w:marTop w:val="0"/>
          <w:marBottom w:val="0"/>
          <w:divBdr>
            <w:top w:val="none" w:sz="0" w:space="0" w:color="auto"/>
            <w:left w:val="none" w:sz="0" w:space="0" w:color="auto"/>
            <w:bottom w:val="none" w:sz="0" w:space="0" w:color="auto"/>
            <w:right w:val="none" w:sz="0" w:space="0" w:color="auto"/>
          </w:divBdr>
        </w:div>
      </w:divsChild>
    </w:div>
    <w:div w:id="1942371950">
      <w:bodyDiv w:val="1"/>
      <w:marLeft w:val="0"/>
      <w:marRight w:val="0"/>
      <w:marTop w:val="0"/>
      <w:marBottom w:val="0"/>
      <w:divBdr>
        <w:top w:val="none" w:sz="0" w:space="0" w:color="auto"/>
        <w:left w:val="none" w:sz="0" w:space="0" w:color="auto"/>
        <w:bottom w:val="none" w:sz="0" w:space="0" w:color="auto"/>
        <w:right w:val="none" w:sz="0" w:space="0" w:color="auto"/>
      </w:divBdr>
      <w:divsChild>
        <w:div w:id="1199972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13124</Words>
  <Characters>7482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Baskeviciene</dc:creator>
  <cp:lastModifiedBy>Asta Baskeviciene</cp:lastModifiedBy>
  <cp:revision>2</cp:revision>
  <dcterms:created xsi:type="dcterms:W3CDTF">2025-05-06T12:56:00Z</dcterms:created>
  <dcterms:modified xsi:type="dcterms:W3CDTF">2025-05-06T12:56:00Z</dcterms:modified>
</cp:coreProperties>
</file>