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80EA" w14:textId="77777777" w:rsidR="00732AA1" w:rsidRPr="00732AA1" w:rsidRDefault="00732AA1" w:rsidP="008331A1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32AA1">
        <w:rPr>
          <w:rFonts w:ascii="Times New Roman" w:hAnsi="Times New Roman" w:cs="Times New Roman"/>
          <w:sz w:val="24"/>
          <w:szCs w:val="24"/>
        </w:rPr>
        <w:t xml:space="preserve">Iki 2023 m. liepos mėn. galiojo Neringos savivaldybės tarybos veiklos reglamento (toliau - Reglamentas), patvirtinto Neringos savivaldybės tarybos 2023 m. balandžio 27 d. sprendimu Nr. T1-94 „Dėl Neringos savivaldybės tarybos veiklos reglamento patvirtinimo“ </w:t>
      </w:r>
      <w:r w:rsidRPr="00732AA1">
        <w:rPr>
          <w:rFonts w:ascii="Times New Roman" w:hAnsi="Times New Roman" w:cs="Times New Roman"/>
          <w:b/>
          <w:bCs/>
          <w:sz w:val="24"/>
          <w:szCs w:val="24"/>
        </w:rPr>
        <w:t>10.1. papunkčio nuostata</w:t>
      </w:r>
      <w:r w:rsidRPr="00732AA1">
        <w:rPr>
          <w:rFonts w:ascii="Times New Roman" w:hAnsi="Times New Roman" w:cs="Times New Roman"/>
          <w:sz w:val="24"/>
          <w:szCs w:val="24"/>
        </w:rPr>
        <w:t xml:space="preserve">, kad </w:t>
      </w:r>
      <w:r w:rsidRPr="00732AA1">
        <w:rPr>
          <w:rFonts w:ascii="Times New Roman" w:hAnsi="Times New Roman" w:cs="Times New Roman"/>
          <w:i/>
          <w:iCs/>
          <w:sz w:val="24"/>
          <w:szCs w:val="24"/>
        </w:rPr>
        <w:t xml:space="preserve">Tarybos nariams už darbo laiką atliekant Tarybos nario pareigas yra apmokama – kartą per mėnesį mokamas Tarybos nario atlyginimas. Šis atlyginimas apskaičiuojamas pagal Lietuvos statistikos departamento skelbiamą paskutinio Lietuvos ūkio vidutinio mėnesinio darbo užmokesčio (toliau –VMDU) dydį atsižvelgiant į faktiškai dirbtą laiką. Valandos atlyginimas apskaičiuojamas, vadovaujantis paskelbtu 1 VMDU dydžiu ir Lietuvos Respublikos socialinės apsaugos ir darbo ministro einamiesiems metams patvirtintu vidutinio mėnesio darbo valandų skaičiumi, esant penkių darbo dienų savaitei, </w:t>
      </w:r>
      <w:r w:rsidRPr="00732AA1">
        <w:rPr>
          <w:rFonts w:ascii="Times New Roman" w:hAnsi="Times New Roman" w:cs="Times New Roman"/>
          <w:sz w:val="24"/>
          <w:szCs w:val="24"/>
        </w:rPr>
        <w:t>ir</w:t>
      </w:r>
      <w:r w:rsidRPr="00732A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32AA1">
        <w:rPr>
          <w:rFonts w:ascii="Times New Roman" w:hAnsi="Times New Roman" w:cs="Times New Roman"/>
          <w:b/>
          <w:bCs/>
          <w:sz w:val="24"/>
          <w:szCs w:val="24"/>
        </w:rPr>
        <w:t>Reglamento 10.2. papunkčio nuostata</w:t>
      </w:r>
      <w:r w:rsidRPr="00732AA1">
        <w:rPr>
          <w:rFonts w:ascii="Times New Roman" w:hAnsi="Times New Roman" w:cs="Times New Roman"/>
          <w:sz w:val="24"/>
          <w:szCs w:val="24"/>
        </w:rPr>
        <w:t xml:space="preserve">, kad </w:t>
      </w:r>
      <w:r w:rsidRPr="00732AA1">
        <w:rPr>
          <w:rFonts w:ascii="Times New Roman" w:hAnsi="Times New Roman" w:cs="Times New Roman"/>
          <w:i/>
          <w:iCs/>
          <w:sz w:val="24"/>
          <w:szCs w:val="24"/>
        </w:rPr>
        <w:t>Tarybos opozicijos lyderio, Tarybos komitetų ir nuolatinių komisijų pirmininkų atlyginimas apskaičiuojamas 0,2 VMDU didesniu dydžiu, o Tarybos komitetų ir nuolatinių komisijų pirmininkų pavaduotojų – 0,1 VMDU didesniu dydžiu nei Tarybos narių nustatytas atlyginimas.</w:t>
      </w:r>
      <w:r w:rsidRPr="00732A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93C5F" w14:textId="77777777" w:rsidR="00714DE8" w:rsidRDefault="00714DE8"/>
    <w:sectPr w:rsidR="00714D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61"/>
    <w:rsid w:val="00714DE8"/>
    <w:rsid w:val="00732AA1"/>
    <w:rsid w:val="008331A1"/>
    <w:rsid w:val="00DC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E6BA"/>
  <w15:chartTrackingRefBased/>
  <w15:docId w15:val="{0888B0A9-7361-475D-8643-5F023C2E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3</cp:revision>
  <dcterms:created xsi:type="dcterms:W3CDTF">2024-01-29T12:06:00Z</dcterms:created>
  <dcterms:modified xsi:type="dcterms:W3CDTF">2024-01-29T12:06:00Z</dcterms:modified>
</cp:coreProperties>
</file>