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B347" w14:textId="7B9BA469" w:rsidR="00561625" w:rsidRDefault="00561625" w:rsidP="008B423C">
      <w:pPr>
        <w:pStyle w:val="Antrats"/>
        <w:tabs>
          <w:tab w:val="clear" w:pos="4819"/>
          <w:tab w:val="left" w:pos="5529"/>
        </w:tabs>
        <w:ind w:firstLine="5387"/>
        <w:jc w:val="both"/>
        <w:rPr>
          <w:rFonts w:ascii="Times New Roman" w:hAnsi="Times New Roman"/>
          <w:sz w:val="24"/>
          <w:szCs w:val="24"/>
        </w:rPr>
      </w:pPr>
      <w:bookmarkStart w:id="0" w:name="_Hlk125635076"/>
      <w:r>
        <w:rPr>
          <w:rFonts w:ascii="Times New Roman" w:hAnsi="Times New Roman"/>
          <w:sz w:val="24"/>
          <w:szCs w:val="24"/>
        </w:rPr>
        <w:t>PRITARTA</w:t>
      </w:r>
    </w:p>
    <w:p w14:paraId="7FAE7C89" w14:textId="77777777" w:rsidR="00561625" w:rsidRDefault="00561625" w:rsidP="008B423C">
      <w:pPr>
        <w:pStyle w:val="Antrats"/>
        <w:tabs>
          <w:tab w:val="clear" w:pos="4819"/>
          <w:tab w:val="left" w:pos="538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Neringos savivaldybės tarybos</w:t>
      </w:r>
    </w:p>
    <w:p w14:paraId="63EC9A7D" w14:textId="2A84ABB0" w:rsidR="00561625" w:rsidRDefault="00561625" w:rsidP="008B423C">
      <w:pPr>
        <w:pStyle w:val="Antrats"/>
        <w:tabs>
          <w:tab w:val="clear" w:pos="4819"/>
          <w:tab w:val="left" w:pos="538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20</w:t>
      </w:r>
      <w:r w:rsidR="00962465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m. </w:t>
      </w:r>
      <w:r w:rsidR="00962465">
        <w:rPr>
          <w:rFonts w:ascii="Times New Roman" w:hAnsi="Times New Roman"/>
          <w:sz w:val="24"/>
          <w:szCs w:val="24"/>
        </w:rPr>
        <w:t>vasario 23</w:t>
      </w:r>
      <w:r>
        <w:rPr>
          <w:rFonts w:ascii="Times New Roman" w:hAnsi="Times New Roman"/>
          <w:sz w:val="24"/>
          <w:szCs w:val="24"/>
        </w:rPr>
        <w:t xml:space="preserve"> d. sprendimu Nr. T1-</w:t>
      </w:r>
      <w:r w:rsidR="008B423C">
        <w:rPr>
          <w:rFonts w:ascii="Times New Roman" w:hAnsi="Times New Roman"/>
          <w:sz w:val="24"/>
          <w:szCs w:val="24"/>
        </w:rPr>
        <w:t>24</w:t>
      </w:r>
    </w:p>
    <w:p w14:paraId="23F96089" w14:textId="06EF9E08" w:rsidR="00887E4F" w:rsidRPr="00942EAB" w:rsidRDefault="00887E4F" w:rsidP="00561625">
      <w:pPr>
        <w:spacing w:line="276" w:lineRule="auto"/>
        <w:rPr>
          <w:sz w:val="20"/>
          <w:szCs w:val="20"/>
        </w:rPr>
      </w:pPr>
    </w:p>
    <w:p w14:paraId="01C5FDA9" w14:textId="77777777" w:rsidR="00887E4F" w:rsidRDefault="00887E4F" w:rsidP="009E0C42">
      <w:pPr>
        <w:jc w:val="center"/>
        <w:rPr>
          <w:b/>
        </w:rPr>
      </w:pPr>
    </w:p>
    <w:p w14:paraId="72275846" w14:textId="77777777" w:rsidR="00887E4F" w:rsidRDefault="00887E4F" w:rsidP="009E0C42">
      <w:pPr>
        <w:jc w:val="center"/>
        <w:rPr>
          <w:b/>
        </w:rPr>
      </w:pPr>
    </w:p>
    <w:p w14:paraId="7B118E8A" w14:textId="23A0FD6F" w:rsidR="009E0C42" w:rsidRDefault="00175BD1" w:rsidP="009E0C42">
      <w:pPr>
        <w:jc w:val="center"/>
        <w:rPr>
          <w:b/>
        </w:rPr>
      </w:pPr>
      <w:r w:rsidRPr="00EE4D59">
        <w:rPr>
          <w:b/>
        </w:rPr>
        <w:t xml:space="preserve">LIUDVIKO RĖZOS </w:t>
      </w:r>
      <w:r w:rsidR="005B2403" w:rsidRPr="00EE4D59">
        <w:rPr>
          <w:b/>
        </w:rPr>
        <w:t>KULTŪROS</w:t>
      </w:r>
      <w:r w:rsidRPr="00EE4D59">
        <w:rPr>
          <w:b/>
        </w:rPr>
        <w:t xml:space="preserve"> CENTRO </w:t>
      </w:r>
    </w:p>
    <w:p w14:paraId="6B9645D5" w14:textId="130C2897" w:rsidR="00676F1C" w:rsidRDefault="00DE787F" w:rsidP="005B2403">
      <w:pPr>
        <w:jc w:val="center"/>
        <w:rPr>
          <w:b/>
        </w:rPr>
      </w:pPr>
      <w:bookmarkStart w:id="1" w:name="_Hlk94190323"/>
      <w:r>
        <w:rPr>
          <w:b/>
        </w:rPr>
        <w:t>20</w:t>
      </w:r>
      <w:r w:rsidR="00D666D1">
        <w:rPr>
          <w:b/>
        </w:rPr>
        <w:t>2</w:t>
      </w:r>
      <w:r w:rsidR="00B415D6">
        <w:rPr>
          <w:b/>
        </w:rPr>
        <w:t>2</w:t>
      </w:r>
      <w:r>
        <w:rPr>
          <w:b/>
        </w:rPr>
        <w:t xml:space="preserve"> METŲ VEIKLOS</w:t>
      </w:r>
      <w:r w:rsidR="005B2403" w:rsidRPr="00EE4D59">
        <w:rPr>
          <w:b/>
        </w:rPr>
        <w:t xml:space="preserve"> ATASKAIT</w:t>
      </w:r>
      <w:r w:rsidR="00175BD1" w:rsidRPr="00EE4D59">
        <w:rPr>
          <w:b/>
        </w:rPr>
        <w:t>A</w:t>
      </w:r>
      <w:r w:rsidR="005B2403" w:rsidRPr="00EE4D59">
        <w:rPr>
          <w:b/>
        </w:rPr>
        <w:t xml:space="preserve"> </w:t>
      </w:r>
    </w:p>
    <w:bookmarkEnd w:id="1"/>
    <w:p w14:paraId="7F01E666" w14:textId="77777777" w:rsidR="0003545B" w:rsidRDefault="0003545B" w:rsidP="00AE2B73">
      <w:pPr>
        <w:pStyle w:val="Betarp"/>
        <w:ind w:firstLine="567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06F0D829" w14:textId="559A6DD5" w:rsidR="00F76258" w:rsidRPr="001900A1" w:rsidRDefault="00F76258" w:rsidP="00AE2B73">
      <w:pPr>
        <w:pStyle w:val="Betarp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900A1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1. Liudviko Rėzos </w:t>
      </w:r>
      <w:r w:rsidR="00742C7B">
        <w:rPr>
          <w:rFonts w:ascii="Times New Roman" w:hAnsi="Times New Roman" w:cs="Times New Roman"/>
          <w:b/>
          <w:sz w:val="24"/>
          <w:szCs w:val="24"/>
          <w:lang w:eastAsia="lt-LT"/>
        </w:rPr>
        <w:t>kultūros centro (toliau – Centras</w:t>
      </w:r>
      <w:r w:rsidRPr="001900A1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) </w:t>
      </w:r>
      <w:r w:rsidRPr="001900A1">
        <w:rPr>
          <w:rFonts w:ascii="Times New Roman" w:hAnsi="Times New Roman" w:cs="Times New Roman"/>
          <w:b/>
          <w:sz w:val="24"/>
          <w:szCs w:val="24"/>
        </w:rPr>
        <w:t>organizacinė veikla:</w:t>
      </w:r>
    </w:p>
    <w:p w14:paraId="7F551EC4" w14:textId="77777777" w:rsidR="004177A8" w:rsidRDefault="001900A1" w:rsidP="00F17C14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8329B">
        <w:rPr>
          <w:rFonts w:ascii="Times New Roman" w:hAnsi="Times New Roman" w:cs="Times New Roman"/>
          <w:sz w:val="24"/>
          <w:szCs w:val="24"/>
          <w:u w:val="single"/>
          <w:lang w:eastAsia="lt-LT"/>
        </w:rPr>
        <w:t>1.1.</w:t>
      </w:r>
      <w:r w:rsidR="00F76258" w:rsidRPr="0028329B">
        <w:rPr>
          <w:rFonts w:ascii="Times New Roman" w:hAnsi="Times New Roman" w:cs="Times New Roman"/>
          <w:sz w:val="24"/>
          <w:szCs w:val="24"/>
          <w:u w:val="single"/>
          <w:lang w:eastAsia="lt-LT"/>
        </w:rPr>
        <w:t xml:space="preserve"> Centro vidaus administravimas</w:t>
      </w:r>
      <w:r w:rsidRPr="0028329B">
        <w:rPr>
          <w:rFonts w:ascii="Times New Roman" w:hAnsi="Times New Roman" w:cs="Times New Roman"/>
          <w:sz w:val="24"/>
          <w:szCs w:val="24"/>
          <w:u w:val="single"/>
          <w:lang w:eastAsia="lt-LT"/>
        </w:rPr>
        <w:t>.</w:t>
      </w:r>
      <w:r w:rsidR="00DB483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60A14F2B" w14:textId="70476E08" w:rsidR="005260C5" w:rsidRDefault="00DB4833" w:rsidP="00F17C14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Centro organizacinė struktūra</w:t>
      </w:r>
      <w:r w:rsidR="00CE13E3"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patvirtinta d</w:t>
      </w:r>
      <w:r w:rsidR="001900A1" w:rsidRPr="001900A1">
        <w:rPr>
          <w:rFonts w:ascii="Times New Roman" w:hAnsi="Times New Roman" w:cs="Times New Roman"/>
          <w:sz w:val="24"/>
          <w:szCs w:val="24"/>
        </w:rPr>
        <w:t>irektoriaus 2015-09-25 įsakymu Nr. V-22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672041" w14:textId="77777777" w:rsidR="006453AA" w:rsidRDefault="006453AA" w:rsidP="0000124E">
      <w:pPr>
        <w:pStyle w:val="Betarp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valdymo struktūra pateikiama schemoje:</w:t>
      </w:r>
    </w:p>
    <w:p w14:paraId="3DA60236" w14:textId="510F78EC" w:rsidR="006453AA" w:rsidRDefault="00ED3C16" w:rsidP="00ED3C16">
      <w:pPr>
        <w:pStyle w:val="Betarp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BABAB51" wp14:editId="3073ED57">
            <wp:extent cx="5181600" cy="3016316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8" r="7153" b="31132"/>
                    <a:stretch/>
                  </pic:blipFill>
                  <pic:spPr bwMode="auto">
                    <a:xfrm>
                      <a:off x="0" y="0"/>
                      <a:ext cx="5409219" cy="314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AFAF5B" w14:textId="1991DB53" w:rsidR="009015D6" w:rsidRDefault="009015D6" w:rsidP="009B16BF">
      <w:pPr>
        <w:jc w:val="center"/>
      </w:pPr>
    </w:p>
    <w:p w14:paraId="7F43D647" w14:textId="77777777" w:rsidR="00ED3C16" w:rsidRDefault="00742C7B" w:rsidP="00ED3C16">
      <w:pPr>
        <w:autoSpaceDE w:val="0"/>
        <w:autoSpaceDN w:val="0"/>
        <w:adjustRightInd w:val="0"/>
        <w:ind w:firstLine="1134"/>
      </w:pPr>
      <w:r w:rsidRPr="00EE2C13">
        <w:rPr>
          <w:u w:val="single"/>
        </w:rPr>
        <w:t xml:space="preserve">1.2. </w:t>
      </w:r>
      <w:r w:rsidR="009F7620" w:rsidRPr="00EE2C13">
        <w:rPr>
          <w:u w:val="single"/>
        </w:rPr>
        <w:t>Centro v</w:t>
      </w:r>
      <w:r w:rsidRPr="00EE2C13">
        <w:rPr>
          <w:u w:val="single"/>
        </w:rPr>
        <w:t>adovo</w:t>
      </w:r>
      <w:r w:rsidR="009F7620" w:rsidRPr="00EE2C13">
        <w:rPr>
          <w:u w:val="single"/>
        </w:rPr>
        <w:t xml:space="preserve"> ir darbuotojų</w:t>
      </w:r>
      <w:r w:rsidRPr="00EE2C13">
        <w:rPr>
          <w:u w:val="single"/>
        </w:rPr>
        <w:t xml:space="preserve"> iniciatyvos.</w:t>
      </w:r>
      <w:r>
        <w:t xml:space="preserve"> </w:t>
      </w:r>
    </w:p>
    <w:p w14:paraId="35247CFA" w14:textId="5C8B5104" w:rsidR="006D054A" w:rsidRPr="0034120A" w:rsidRDefault="003F53C1" w:rsidP="00ED3C16">
      <w:pPr>
        <w:autoSpaceDE w:val="0"/>
        <w:autoSpaceDN w:val="0"/>
        <w:adjustRightInd w:val="0"/>
        <w:ind w:firstLine="1134"/>
        <w:jc w:val="both"/>
      </w:pPr>
      <w:r w:rsidRPr="00EE2C13">
        <w:t xml:space="preserve">Lietuvos Respublikos kultūros ministerijai </w:t>
      </w:r>
      <w:r w:rsidR="0031368D" w:rsidRPr="00EE2C13">
        <w:t>ir Lietuvos Respublikos švietimo</w:t>
      </w:r>
      <w:r w:rsidR="00962465">
        <w:t>,</w:t>
      </w:r>
      <w:r w:rsidR="0031368D" w:rsidRPr="00EE2C13">
        <w:t xml:space="preserve"> mokslo </w:t>
      </w:r>
      <w:r w:rsidR="00962465">
        <w:t xml:space="preserve">ir sporto </w:t>
      </w:r>
      <w:r w:rsidR="0031368D" w:rsidRPr="00EE2C13">
        <w:t xml:space="preserve">ministerijai </w:t>
      </w:r>
      <w:r w:rsidR="00391CE4" w:rsidRPr="00EE2C13">
        <w:t xml:space="preserve">buvo parengtos </w:t>
      </w:r>
      <w:r w:rsidR="00B415D6" w:rsidRPr="00EE2C13">
        <w:t>2 naujos</w:t>
      </w:r>
      <w:r w:rsidRPr="00EE2C13">
        <w:t xml:space="preserve"> paraiškos Kultūros paso paslaugoms gauti</w:t>
      </w:r>
      <w:r w:rsidR="00B415D6" w:rsidRPr="00EE2C13">
        <w:t xml:space="preserve">: </w:t>
      </w:r>
      <w:r w:rsidR="00EE2C13" w:rsidRPr="00EE2C13">
        <w:t>„E</w:t>
      </w:r>
      <w:r w:rsidR="00B415D6" w:rsidRPr="00EE2C13">
        <w:t>kskursija po istorinį Juodkrantės kurorto „aukso amžiaus“ vilų kvartalą</w:t>
      </w:r>
      <w:r w:rsidR="00EE2C13" w:rsidRPr="00EE2C13">
        <w:t>“</w:t>
      </w:r>
      <w:r w:rsidR="00B415D6" w:rsidRPr="00EE2C13">
        <w:t xml:space="preserve">; </w:t>
      </w:r>
      <w:r w:rsidR="00EE2C13" w:rsidRPr="00EE2C13">
        <w:t>„F</w:t>
      </w:r>
      <w:r w:rsidR="00B415D6" w:rsidRPr="00EE2C13">
        <w:t>ilmo „Rūgštus miškas“ peržiūra ir ekskursija po kormoranų koloniją</w:t>
      </w:r>
      <w:r w:rsidR="00EE2C13" w:rsidRPr="00EE2C13">
        <w:t>“. B</w:t>
      </w:r>
      <w:r w:rsidR="0034120A" w:rsidRPr="00EE2C13">
        <w:t xml:space="preserve">uvo parengtos </w:t>
      </w:r>
      <w:r w:rsidR="00B415D6" w:rsidRPr="00EE2C13">
        <w:t>3</w:t>
      </w:r>
      <w:r w:rsidR="0034120A" w:rsidRPr="00EE2C13">
        <w:t xml:space="preserve"> paraiškos Lietuvos kultūros tarybai: „Folkloro šventė „Pūsk, </w:t>
      </w:r>
      <w:proofErr w:type="spellStart"/>
      <w:r w:rsidR="0034120A" w:rsidRPr="00EE2C13">
        <w:t>vėjuži</w:t>
      </w:r>
      <w:proofErr w:type="spellEnd"/>
      <w:r w:rsidR="0034120A" w:rsidRPr="00EE2C13">
        <w:t xml:space="preserve">!“, „Tarptautinis jaunųjų vokalistų festivalis-konkursas </w:t>
      </w:r>
      <w:r w:rsidR="009120BD" w:rsidRPr="00EE2C13">
        <w:t>„</w:t>
      </w:r>
      <w:r w:rsidR="0034120A" w:rsidRPr="00EE2C13">
        <w:t xml:space="preserve">Baltic </w:t>
      </w:r>
      <w:proofErr w:type="spellStart"/>
      <w:r w:rsidR="0034120A" w:rsidRPr="00EE2C13">
        <w:t>Voice</w:t>
      </w:r>
      <w:proofErr w:type="spellEnd"/>
      <w:r w:rsidR="009120BD" w:rsidRPr="00EE2C13">
        <w:t>“</w:t>
      </w:r>
      <w:r w:rsidR="0034120A" w:rsidRPr="00EE2C13">
        <w:t>; „Festivalis Juodkrantės kurorto dienos“.</w:t>
      </w:r>
      <w:r w:rsidR="00FB73D2" w:rsidRPr="00EE2C13">
        <w:t xml:space="preserve"> V</w:t>
      </w:r>
      <w:r w:rsidR="006432F5" w:rsidRPr="00EE2C13">
        <w:t xml:space="preserve">asaros sezono metu </w:t>
      </w:r>
      <w:r w:rsidR="00EE2C13">
        <w:t xml:space="preserve">Centro </w:t>
      </w:r>
      <w:r w:rsidR="00564845" w:rsidRPr="00EE2C13">
        <w:t xml:space="preserve">darbuotojas reguliariai </w:t>
      </w:r>
      <w:r w:rsidR="006432F5" w:rsidRPr="00EE2C13">
        <w:t>v</w:t>
      </w:r>
      <w:r w:rsidR="00564845" w:rsidRPr="00EE2C13">
        <w:t>edė</w:t>
      </w:r>
      <w:r w:rsidR="006432F5" w:rsidRPr="00EE2C13">
        <w:t xml:space="preserve"> edukacij</w:t>
      </w:r>
      <w:r w:rsidR="00564845" w:rsidRPr="00EE2C13">
        <w:t>as</w:t>
      </w:r>
      <w:r w:rsidR="006432F5" w:rsidRPr="00EE2C13">
        <w:t xml:space="preserve">, </w:t>
      </w:r>
      <w:r w:rsidR="00EE2C13">
        <w:t xml:space="preserve">taip pat </w:t>
      </w:r>
      <w:r w:rsidR="00564845" w:rsidRPr="00EE2C13">
        <w:t xml:space="preserve">buvo </w:t>
      </w:r>
      <w:r w:rsidR="00EE2C13">
        <w:t>organizuojamos</w:t>
      </w:r>
      <w:r w:rsidR="006432F5" w:rsidRPr="00EE2C13">
        <w:t xml:space="preserve"> ekskursijos</w:t>
      </w:r>
      <w:r w:rsidR="00EE2C13">
        <w:t xml:space="preserve"> po Vilų kvartalą</w:t>
      </w:r>
      <w:r w:rsidR="006432F5" w:rsidRPr="00EE2C13">
        <w:t>.</w:t>
      </w:r>
      <w:r w:rsidR="00FB73D2" w:rsidRPr="00EE2C13">
        <w:t xml:space="preserve"> </w:t>
      </w:r>
      <w:r w:rsidR="009A7C8A" w:rsidRPr="00EE2C13">
        <w:t>Liudviko Rėzos kultūros centr</w:t>
      </w:r>
      <w:r w:rsidR="00EE2C13">
        <w:t>as buvo pristatytas</w:t>
      </w:r>
      <w:r w:rsidR="009A7C8A" w:rsidRPr="00EE2C13">
        <w:t xml:space="preserve"> aukštųjų mokyklų organizuojamoje konferencijoje „Karjeros dienos 2022“</w:t>
      </w:r>
      <w:r w:rsidR="00EE2C13">
        <w:t xml:space="preserve">. </w:t>
      </w:r>
    </w:p>
    <w:p w14:paraId="02E6F274" w14:textId="0F05D4AD" w:rsidR="00525875" w:rsidRDefault="00B415D6" w:rsidP="00962465">
      <w:pPr>
        <w:pStyle w:val="Betarp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3C16">
        <w:rPr>
          <w:rFonts w:ascii="Times New Roman" w:hAnsi="Times New Roman" w:cs="Times New Roman"/>
          <w:sz w:val="24"/>
          <w:szCs w:val="24"/>
        </w:rPr>
        <w:t>Pateikta APVA paraiška „Liudviko Rėzos kultūros centro 33 kW saulės elektrinės įsigijimas iš saulės parko“.</w:t>
      </w:r>
      <w:r w:rsidR="00ED3C16" w:rsidRPr="00ED3C16">
        <w:rPr>
          <w:rFonts w:ascii="Times New Roman" w:hAnsi="Times New Roman" w:cs="Times New Roman"/>
          <w:sz w:val="24"/>
          <w:szCs w:val="24"/>
        </w:rPr>
        <w:t xml:space="preserve"> Pradėti D. Junevičiaus ir N. </w:t>
      </w:r>
      <w:proofErr w:type="spellStart"/>
      <w:r w:rsidR="00ED3C16" w:rsidRPr="00ED3C16">
        <w:rPr>
          <w:rFonts w:ascii="Times New Roman" w:hAnsi="Times New Roman" w:cs="Times New Roman"/>
          <w:sz w:val="24"/>
          <w:szCs w:val="24"/>
        </w:rPr>
        <w:t>Strakauskaitės</w:t>
      </w:r>
      <w:proofErr w:type="spellEnd"/>
      <w:r w:rsidR="00ED3C16" w:rsidRPr="00ED3C16">
        <w:rPr>
          <w:rFonts w:ascii="Times New Roman" w:hAnsi="Times New Roman" w:cs="Times New Roman"/>
          <w:sz w:val="24"/>
          <w:szCs w:val="24"/>
        </w:rPr>
        <w:t xml:space="preserve"> knygos „Kuršių nerija </w:t>
      </w:r>
      <w:proofErr w:type="spellStart"/>
      <w:r w:rsidR="00ED3C16" w:rsidRPr="00ED3C16">
        <w:rPr>
          <w:rFonts w:ascii="Times New Roman" w:hAnsi="Times New Roman" w:cs="Times New Roman"/>
          <w:sz w:val="24"/>
          <w:szCs w:val="24"/>
        </w:rPr>
        <w:t>anno</w:t>
      </w:r>
      <w:proofErr w:type="spellEnd"/>
      <w:r w:rsidR="00ED3C16" w:rsidRPr="00ED3C16">
        <w:rPr>
          <w:rFonts w:ascii="Times New Roman" w:hAnsi="Times New Roman" w:cs="Times New Roman"/>
          <w:sz w:val="24"/>
          <w:szCs w:val="24"/>
        </w:rPr>
        <w:t xml:space="preserve"> 1900: Tilžės fotografo Roberto </w:t>
      </w:r>
      <w:proofErr w:type="spellStart"/>
      <w:r w:rsidR="00ED3C16" w:rsidRPr="00ED3C16">
        <w:rPr>
          <w:rFonts w:ascii="Times New Roman" w:hAnsi="Times New Roman" w:cs="Times New Roman"/>
          <w:sz w:val="24"/>
          <w:szCs w:val="24"/>
        </w:rPr>
        <w:t>Minzloffo</w:t>
      </w:r>
      <w:proofErr w:type="spellEnd"/>
      <w:r w:rsidR="00ED3C16" w:rsidRPr="00ED3C16">
        <w:rPr>
          <w:rFonts w:ascii="Times New Roman" w:hAnsi="Times New Roman" w:cs="Times New Roman"/>
          <w:sz w:val="24"/>
          <w:szCs w:val="24"/>
        </w:rPr>
        <w:t xml:space="preserve"> (1855–1930) stereoskopinių fotografijų rinkinys „Die </w:t>
      </w:r>
      <w:proofErr w:type="spellStart"/>
      <w:r w:rsidR="00ED3C16" w:rsidRPr="00ED3C16">
        <w:rPr>
          <w:rFonts w:ascii="Times New Roman" w:hAnsi="Times New Roman" w:cs="Times New Roman"/>
          <w:sz w:val="24"/>
          <w:szCs w:val="24"/>
        </w:rPr>
        <w:t>Kurische</w:t>
      </w:r>
      <w:proofErr w:type="spellEnd"/>
      <w:r w:rsidR="00ED3C16" w:rsidRPr="00ED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C16" w:rsidRPr="00ED3C16">
        <w:rPr>
          <w:rFonts w:ascii="Times New Roman" w:hAnsi="Times New Roman" w:cs="Times New Roman"/>
          <w:sz w:val="24"/>
          <w:szCs w:val="24"/>
        </w:rPr>
        <w:t>Nehrung</w:t>
      </w:r>
      <w:proofErr w:type="spellEnd"/>
      <w:r w:rsidR="00ED3C16" w:rsidRPr="00ED3C16">
        <w:rPr>
          <w:rFonts w:ascii="Times New Roman" w:hAnsi="Times New Roman" w:cs="Times New Roman"/>
          <w:sz w:val="24"/>
          <w:szCs w:val="24"/>
        </w:rPr>
        <w:t xml:space="preserve">“ anglų kalba leidybos darbai. </w:t>
      </w:r>
      <w:r w:rsidR="00762EA8" w:rsidRPr="00ED3C16">
        <w:rPr>
          <w:rFonts w:ascii="Times New Roman" w:hAnsi="Times New Roman" w:cs="Times New Roman"/>
          <w:sz w:val="24"/>
          <w:szCs w:val="24"/>
        </w:rPr>
        <w:t>Organizavau</w:t>
      </w:r>
      <w:r w:rsidR="006432F5" w:rsidRPr="00ED3C16">
        <w:rPr>
          <w:rFonts w:ascii="Times New Roman" w:hAnsi="Times New Roman" w:cs="Times New Roman"/>
          <w:sz w:val="24"/>
          <w:szCs w:val="24"/>
        </w:rPr>
        <w:t xml:space="preserve"> </w:t>
      </w:r>
      <w:r w:rsidR="001E7BF8" w:rsidRPr="00ED3C16">
        <w:rPr>
          <w:rFonts w:ascii="Times New Roman" w:hAnsi="Times New Roman" w:cs="Times New Roman"/>
          <w:sz w:val="24"/>
          <w:szCs w:val="24"/>
        </w:rPr>
        <w:t xml:space="preserve">L. Rėzos g. 8 B </w:t>
      </w:r>
      <w:r w:rsidR="007C296A" w:rsidRPr="00ED3C16">
        <w:rPr>
          <w:rFonts w:ascii="Times New Roman" w:hAnsi="Times New Roman" w:cs="Times New Roman"/>
          <w:sz w:val="24"/>
          <w:szCs w:val="24"/>
        </w:rPr>
        <w:t>pastato medin</w:t>
      </w:r>
      <w:r w:rsidR="00762EA8" w:rsidRPr="00ED3C16">
        <w:rPr>
          <w:rFonts w:ascii="Times New Roman" w:hAnsi="Times New Roman" w:cs="Times New Roman"/>
          <w:sz w:val="24"/>
          <w:szCs w:val="24"/>
        </w:rPr>
        <w:t>ių</w:t>
      </w:r>
      <w:r w:rsidR="007C296A" w:rsidRPr="00ED3C16">
        <w:rPr>
          <w:rFonts w:ascii="Times New Roman" w:hAnsi="Times New Roman" w:cs="Times New Roman"/>
          <w:sz w:val="24"/>
          <w:szCs w:val="24"/>
        </w:rPr>
        <w:t xml:space="preserve"> dal</w:t>
      </w:r>
      <w:r w:rsidR="00762EA8" w:rsidRPr="00ED3C16">
        <w:rPr>
          <w:rFonts w:ascii="Times New Roman" w:hAnsi="Times New Roman" w:cs="Times New Roman"/>
          <w:sz w:val="24"/>
          <w:szCs w:val="24"/>
        </w:rPr>
        <w:t>ių</w:t>
      </w:r>
      <w:r w:rsidR="007C296A" w:rsidRPr="00ED3C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296A" w:rsidRPr="00ED3C16">
        <w:rPr>
          <w:rFonts w:ascii="Times New Roman" w:hAnsi="Times New Roman" w:cs="Times New Roman"/>
          <w:sz w:val="24"/>
          <w:szCs w:val="24"/>
        </w:rPr>
        <w:t>vėjalen</w:t>
      </w:r>
      <w:r w:rsidR="00762EA8" w:rsidRPr="00ED3C16">
        <w:rPr>
          <w:rFonts w:ascii="Times New Roman" w:hAnsi="Times New Roman" w:cs="Times New Roman"/>
          <w:sz w:val="24"/>
          <w:szCs w:val="24"/>
        </w:rPr>
        <w:t>čių</w:t>
      </w:r>
      <w:proofErr w:type="spellEnd"/>
      <w:r w:rsidR="007C296A" w:rsidRPr="00ED3C16">
        <w:rPr>
          <w:rFonts w:ascii="Times New Roman" w:hAnsi="Times New Roman" w:cs="Times New Roman"/>
          <w:sz w:val="24"/>
          <w:szCs w:val="24"/>
        </w:rPr>
        <w:t xml:space="preserve"> </w:t>
      </w:r>
      <w:r w:rsidR="00762EA8" w:rsidRPr="00ED3C16">
        <w:rPr>
          <w:rFonts w:ascii="Times New Roman" w:hAnsi="Times New Roman" w:cs="Times New Roman"/>
          <w:sz w:val="24"/>
          <w:szCs w:val="24"/>
        </w:rPr>
        <w:t xml:space="preserve">remontą </w:t>
      </w:r>
      <w:r w:rsidR="007C296A" w:rsidRPr="00ED3C16">
        <w:rPr>
          <w:rFonts w:ascii="Times New Roman" w:hAnsi="Times New Roman" w:cs="Times New Roman"/>
          <w:sz w:val="24"/>
          <w:szCs w:val="24"/>
        </w:rPr>
        <w:t xml:space="preserve">ir įėjimo </w:t>
      </w:r>
      <w:r w:rsidR="00EE2C13" w:rsidRPr="00ED3C16">
        <w:rPr>
          <w:rFonts w:ascii="Times New Roman" w:hAnsi="Times New Roman" w:cs="Times New Roman"/>
          <w:sz w:val="24"/>
          <w:szCs w:val="24"/>
        </w:rPr>
        <w:t xml:space="preserve">grindinio bei </w:t>
      </w:r>
      <w:r w:rsidR="007C296A" w:rsidRPr="00ED3C16">
        <w:rPr>
          <w:rFonts w:ascii="Times New Roman" w:hAnsi="Times New Roman" w:cs="Times New Roman"/>
          <w:sz w:val="24"/>
          <w:szCs w:val="24"/>
        </w:rPr>
        <w:t xml:space="preserve">pastogės restauravimo darbus, </w:t>
      </w:r>
      <w:r w:rsidR="00EE2C13" w:rsidRPr="00ED3C16">
        <w:rPr>
          <w:rFonts w:ascii="Times New Roman" w:hAnsi="Times New Roman" w:cs="Times New Roman"/>
          <w:sz w:val="24"/>
          <w:szCs w:val="24"/>
        </w:rPr>
        <w:t xml:space="preserve">koordinavau </w:t>
      </w:r>
      <w:r w:rsidR="007C296A" w:rsidRPr="00ED3C16">
        <w:rPr>
          <w:rFonts w:ascii="Times New Roman" w:hAnsi="Times New Roman" w:cs="Times New Roman"/>
          <w:sz w:val="24"/>
          <w:szCs w:val="24"/>
        </w:rPr>
        <w:t>lauko estrados remonto darbus</w:t>
      </w:r>
      <w:r w:rsidR="00EE2C13" w:rsidRPr="00ED3C16">
        <w:rPr>
          <w:rFonts w:ascii="Times New Roman" w:hAnsi="Times New Roman" w:cs="Times New Roman"/>
          <w:sz w:val="24"/>
          <w:szCs w:val="24"/>
        </w:rPr>
        <w:t xml:space="preserve"> ir</w:t>
      </w:r>
      <w:r w:rsidR="006432F5" w:rsidRPr="00ED3C16">
        <w:rPr>
          <w:rFonts w:ascii="Times New Roman" w:hAnsi="Times New Roman" w:cs="Times New Roman"/>
          <w:sz w:val="24"/>
          <w:szCs w:val="24"/>
        </w:rPr>
        <w:t xml:space="preserve"> smulk</w:t>
      </w:r>
      <w:r w:rsidR="00EE2C13" w:rsidRPr="00ED3C16">
        <w:rPr>
          <w:rFonts w:ascii="Times New Roman" w:hAnsi="Times New Roman" w:cs="Times New Roman"/>
          <w:sz w:val="24"/>
          <w:szCs w:val="24"/>
        </w:rPr>
        <w:t>ius</w:t>
      </w:r>
      <w:r w:rsidR="006432F5" w:rsidRPr="00ED3C16">
        <w:rPr>
          <w:rFonts w:ascii="Times New Roman" w:hAnsi="Times New Roman" w:cs="Times New Roman"/>
          <w:sz w:val="24"/>
          <w:szCs w:val="24"/>
        </w:rPr>
        <w:t xml:space="preserve"> pastato remonto darb</w:t>
      </w:r>
      <w:r w:rsidR="00EE2C13" w:rsidRPr="00ED3C16">
        <w:rPr>
          <w:rFonts w:ascii="Times New Roman" w:hAnsi="Times New Roman" w:cs="Times New Roman"/>
          <w:sz w:val="24"/>
          <w:szCs w:val="24"/>
        </w:rPr>
        <w:t>us.</w:t>
      </w:r>
      <w:r w:rsidR="001E7BF8" w:rsidRPr="00ED3C16">
        <w:rPr>
          <w:rFonts w:ascii="Times New Roman" w:hAnsi="Times New Roman" w:cs="Times New Roman"/>
          <w:sz w:val="24"/>
          <w:szCs w:val="24"/>
        </w:rPr>
        <w:t xml:space="preserve"> </w:t>
      </w:r>
      <w:r w:rsidR="00391271" w:rsidRPr="00ED3C16">
        <w:rPr>
          <w:rFonts w:ascii="Times New Roman" w:hAnsi="Times New Roman" w:cs="Times New Roman"/>
          <w:sz w:val="24"/>
          <w:szCs w:val="24"/>
        </w:rPr>
        <w:t>Koordin</w:t>
      </w:r>
      <w:r w:rsidR="004579D7" w:rsidRPr="00ED3C16">
        <w:rPr>
          <w:rFonts w:ascii="Times New Roman" w:hAnsi="Times New Roman" w:cs="Times New Roman"/>
          <w:sz w:val="24"/>
          <w:szCs w:val="24"/>
        </w:rPr>
        <w:t>avau</w:t>
      </w:r>
      <w:r w:rsidR="00391271" w:rsidRPr="00ED3C16">
        <w:rPr>
          <w:rFonts w:ascii="Times New Roman" w:hAnsi="Times New Roman" w:cs="Times New Roman"/>
          <w:sz w:val="24"/>
          <w:szCs w:val="24"/>
        </w:rPr>
        <w:t xml:space="preserve"> Liudviko Rėzos kultūros centro </w:t>
      </w:r>
      <w:r w:rsidR="004579D7" w:rsidRPr="00ED3C16">
        <w:rPr>
          <w:rFonts w:ascii="Times New Roman" w:hAnsi="Times New Roman" w:cs="Times New Roman"/>
          <w:sz w:val="24"/>
          <w:szCs w:val="24"/>
        </w:rPr>
        <w:t>internetinio</w:t>
      </w:r>
      <w:r w:rsidR="00391271" w:rsidRPr="00ED3C16">
        <w:rPr>
          <w:rFonts w:ascii="Times New Roman" w:hAnsi="Times New Roman" w:cs="Times New Roman"/>
          <w:sz w:val="24"/>
          <w:szCs w:val="24"/>
        </w:rPr>
        <w:t xml:space="preserve"> puslapio</w:t>
      </w:r>
      <w:r w:rsidR="00ED3C16">
        <w:rPr>
          <w:rFonts w:ascii="Times New Roman" w:hAnsi="Times New Roman" w:cs="Times New Roman"/>
          <w:sz w:val="24"/>
          <w:szCs w:val="24"/>
        </w:rPr>
        <w:t xml:space="preserve"> kūrimo</w:t>
      </w:r>
      <w:r w:rsidR="004579D7" w:rsidRPr="00ED3C16">
        <w:rPr>
          <w:rFonts w:ascii="Times New Roman" w:hAnsi="Times New Roman" w:cs="Times New Roman"/>
          <w:sz w:val="24"/>
          <w:szCs w:val="24"/>
        </w:rPr>
        <w:t>, istorinės ekspozicijos</w:t>
      </w:r>
      <w:r w:rsidR="00391271" w:rsidRPr="00ED3C16">
        <w:rPr>
          <w:rFonts w:ascii="Times New Roman" w:hAnsi="Times New Roman" w:cs="Times New Roman"/>
          <w:sz w:val="24"/>
          <w:szCs w:val="24"/>
        </w:rPr>
        <w:t xml:space="preserve"> atnaujinimo </w:t>
      </w:r>
      <w:r w:rsidR="004579D7" w:rsidRPr="00ED3C16">
        <w:rPr>
          <w:rFonts w:ascii="Times New Roman" w:hAnsi="Times New Roman" w:cs="Times New Roman"/>
          <w:sz w:val="24"/>
          <w:szCs w:val="24"/>
        </w:rPr>
        <w:t>darbus</w:t>
      </w:r>
      <w:r w:rsidR="00391271" w:rsidRPr="00ED3C16">
        <w:rPr>
          <w:rFonts w:ascii="Times New Roman" w:hAnsi="Times New Roman" w:cs="Times New Roman"/>
          <w:sz w:val="24"/>
          <w:szCs w:val="24"/>
        </w:rPr>
        <w:t xml:space="preserve">. </w:t>
      </w:r>
      <w:r w:rsidR="00A923AB" w:rsidRPr="00ED3C16">
        <w:rPr>
          <w:rFonts w:ascii="Times New Roman" w:hAnsi="Times New Roman" w:cs="Times New Roman"/>
          <w:sz w:val="24"/>
          <w:szCs w:val="24"/>
        </w:rPr>
        <w:t>Parengiau A</w:t>
      </w:r>
      <w:r w:rsidR="00A923AB" w:rsidRPr="00ED3C16">
        <w:rPr>
          <w:rFonts w:ascii="Times New Roman" w:eastAsia="Times New Roman" w:hAnsi="Times New Roman" w:cs="Times New Roman"/>
          <w:sz w:val="24"/>
          <w:szCs w:val="24"/>
        </w:rPr>
        <w:t xml:space="preserve">pgaulės ir korupcijos prevencijos tvarkos aprašą, </w:t>
      </w:r>
      <w:r w:rsidR="00A923AB" w:rsidRPr="00ED3C16">
        <w:rPr>
          <w:rFonts w:ascii="Times New Roman" w:hAnsi="Times New Roman" w:cs="Times New Roman"/>
          <w:sz w:val="24"/>
          <w:szCs w:val="24"/>
        </w:rPr>
        <w:t>Priekabiavimo, seksualinio priekabiavimo, persekiojimo ir smurto Liudviko Rėzos kultūros centre prevencijos taisykles, 2023–2025 metų strateginį veiklos planą.</w:t>
      </w:r>
    </w:p>
    <w:p w14:paraId="6DBC9A95" w14:textId="77777777" w:rsidR="004177A8" w:rsidRPr="00ED3C16" w:rsidRDefault="004177A8" w:rsidP="00ED3C1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B0CC9CB" w14:textId="6060F8E9" w:rsidR="00ED3C16" w:rsidRDefault="004F7CC0" w:rsidP="008C57D5">
      <w:pPr>
        <w:ind w:firstLine="1134"/>
        <w:jc w:val="both"/>
      </w:pPr>
      <w:r w:rsidRPr="00CE196D">
        <w:rPr>
          <w:u w:val="single"/>
        </w:rPr>
        <w:lastRenderedPageBreak/>
        <w:t xml:space="preserve">1.3. Asmeninis </w:t>
      </w:r>
      <w:r w:rsidR="00790F7D" w:rsidRPr="00CE196D">
        <w:rPr>
          <w:u w:val="single"/>
        </w:rPr>
        <w:t xml:space="preserve">vadovo ir darbuotojų </w:t>
      </w:r>
      <w:r w:rsidRPr="00CE196D">
        <w:rPr>
          <w:u w:val="single"/>
        </w:rPr>
        <w:t>tobulėjimas</w:t>
      </w:r>
      <w:r w:rsidR="00ED3C16">
        <w:t>.</w:t>
      </w:r>
    </w:p>
    <w:p w14:paraId="2B668C5D" w14:textId="71A08D97" w:rsidR="00EE2C13" w:rsidRPr="002F41F2" w:rsidRDefault="00ED3C16" w:rsidP="008C57D5">
      <w:pPr>
        <w:ind w:firstLine="113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</w:t>
      </w:r>
      <w:r w:rsidR="00BE2D0E" w:rsidRPr="002F41F2">
        <w:rPr>
          <w:rFonts w:eastAsiaTheme="minorHAnsi"/>
          <w:lang w:eastAsia="en-US"/>
        </w:rPr>
        <w:t>ausio 14 d.</w:t>
      </w:r>
      <w:r w:rsidR="00CE196D" w:rsidRPr="002F41F2">
        <w:rPr>
          <w:rFonts w:eastAsiaTheme="minorHAnsi"/>
          <w:lang w:eastAsia="en-US"/>
        </w:rPr>
        <w:t xml:space="preserve"> </w:t>
      </w:r>
      <w:r w:rsidR="00BE2D0E" w:rsidRPr="002F41F2">
        <w:rPr>
          <w:rFonts w:eastAsiaTheme="minorHAnsi"/>
          <w:lang w:eastAsia="en-US"/>
        </w:rPr>
        <w:t>darbuotojų pirmosios pagalbos mokym</w:t>
      </w:r>
      <w:r w:rsidR="008C57D5">
        <w:rPr>
          <w:rFonts w:eastAsiaTheme="minorHAnsi"/>
          <w:lang w:eastAsia="en-US"/>
        </w:rPr>
        <w:t>ai</w:t>
      </w:r>
      <w:r w:rsidR="00187102" w:rsidRPr="002F41F2">
        <w:rPr>
          <w:rFonts w:eastAsiaTheme="minorHAnsi"/>
          <w:lang w:eastAsia="en-US"/>
        </w:rPr>
        <w:t>;</w:t>
      </w:r>
      <w:r w:rsidR="008972A6" w:rsidRPr="002F41F2">
        <w:rPr>
          <w:rFonts w:eastAsiaTheme="minorHAnsi"/>
          <w:lang w:eastAsia="en-US"/>
        </w:rPr>
        <w:t xml:space="preserve"> </w:t>
      </w:r>
      <w:r w:rsidR="00EC3A89" w:rsidRPr="002F41F2">
        <w:rPr>
          <w:rFonts w:eastAsiaTheme="minorHAnsi"/>
          <w:lang w:eastAsia="en-US"/>
        </w:rPr>
        <w:t>vasario 22–23 d. nuotolinė  tarptautinė mokslinė-praktinė konferencij</w:t>
      </w:r>
      <w:r w:rsidR="008C57D5">
        <w:rPr>
          <w:rFonts w:eastAsiaTheme="minorHAnsi"/>
          <w:lang w:eastAsia="en-US"/>
        </w:rPr>
        <w:t>a</w:t>
      </w:r>
      <w:r w:rsidR="00EC3A89" w:rsidRPr="002F41F2">
        <w:rPr>
          <w:rFonts w:eastAsiaTheme="minorHAnsi"/>
          <w:lang w:eastAsia="en-US"/>
        </w:rPr>
        <w:t xml:space="preserve"> „Užgavėnės. Tradicijos ir modernybės sampyna“, kurią organizavo Vilniau</w:t>
      </w:r>
      <w:r w:rsidR="00962465">
        <w:rPr>
          <w:rFonts w:eastAsiaTheme="minorHAnsi"/>
          <w:lang w:eastAsia="en-US"/>
        </w:rPr>
        <w:t>s</w:t>
      </w:r>
      <w:r w:rsidR="00EC3A89" w:rsidRPr="002F41F2">
        <w:rPr>
          <w:rFonts w:eastAsiaTheme="minorHAnsi"/>
          <w:lang w:eastAsia="en-US"/>
        </w:rPr>
        <w:t xml:space="preserve"> etninės kultūros centras bei inovacijų ir kompetencijų ugdymo institutas;</w:t>
      </w:r>
      <w:r w:rsidR="002F41F2" w:rsidRPr="002F41F2">
        <w:rPr>
          <w:rFonts w:eastAsiaTheme="minorHAnsi"/>
          <w:lang w:eastAsia="en-US"/>
        </w:rPr>
        <w:t xml:space="preserve"> </w:t>
      </w:r>
      <w:r w:rsidR="00EC3A89" w:rsidRPr="002F41F2">
        <w:rPr>
          <w:rFonts w:eastAsiaTheme="minorHAnsi"/>
          <w:lang w:eastAsia="en-US"/>
        </w:rPr>
        <w:t>k</w:t>
      </w:r>
      <w:r w:rsidR="00112081" w:rsidRPr="002F41F2">
        <w:rPr>
          <w:rFonts w:eastAsiaTheme="minorHAnsi"/>
          <w:lang w:eastAsia="en-US"/>
        </w:rPr>
        <w:t>ovo 4 d. UAB „Mokesčių srautas“ organizuota</w:t>
      </w:r>
      <w:r w:rsidR="008C57D5">
        <w:rPr>
          <w:rFonts w:eastAsiaTheme="minorHAnsi"/>
          <w:lang w:eastAsia="en-US"/>
        </w:rPr>
        <w:t>s</w:t>
      </w:r>
      <w:r w:rsidR="00112081" w:rsidRPr="002F41F2">
        <w:rPr>
          <w:rFonts w:eastAsiaTheme="minorHAnsi"/>
          <w:lang w:eastAsia="en-US"/>
        </w:rPr>
        <w:t xml:space="preserve"> seminar</w:t>
      </w:r>
      <w:r w:rsidR="008C57D5">
        <w:rPr>
          <w:rFonts w:eastAsiaTheme="minorHAnsi"/>
          <w:lang w:eastAsia="en-US"/>
        </w:rPr>
        <w:t>as</w:t>
      </w:r>
      <w:r w:rsidR="00112081" w:rsidRPr="002F41F2">
        <w:rPr>
          <w:rFonts w:eastAsiaTheme="minorHAnsi"/>
          <w:lang w:eastAsia="en-US"/>
        </w:rPr>
        <w:t xml:space="preserve"> </w:t>
      </w:r>
      <w:r w:rsidR="00EC3A89" w:rsidRPr="002F41F2">
        <w:rPr>
          <w:rFonts w:eastAsiaTheme="minorHAnsi"/>
          <w:lang w:eastAsia="en-US"/>
        </w:rPr>
        <w:t>„</w:t>
      </w:r>
      <w:r w:rsidR="00112081" w:rsidRPr="002F41F2">
        <w:rPr>
          <w:rFonts w:eastAsiaTheme="minorHAnsi"/>
          <w:lang w:eastAsia="en-US"/>
        </w:rPr>
        <w:t>Mažos vertės pirkimai – tobulumas paprastume</w:t>
      </w:r>
      <w:r w:rsidR="00EC3A89" w:rsidRPr="002F41F2">
        <w:rPr>
          <w:rFonts w:eastAsiaTheme="minorHAnsi"/>
          <w:lang w:eastAsia="en-US"/>
        </w:rPr>
        <w:t>“; kovo 9 d</w:t>
      </w:r>
      <w:r w:rsidR="00112081" w:rsidRPr="002F41F2">
        <w:rPr>
          <w:rFonts w:eastAsiaTheme="minorHAnsi"/>
          <w:lang w:eastAsia="en-US"/>
        </w:rPr>
        <w:t>.</w:t>
      </w:r>
      <w:r w:rsidR="00EC3A89" w:rsidRPr="002F41F2">
        <w:rPr>
          <w:rFonts w:eastAsiaTheme="minorHAnsi"/>
          <w:lang w:eastAsia="en-US"/>
        </w:rPr>
        <w:t xml:space="preserve"> V</w:t>
      </w:r>
      <w:r w:rsidR="00962465">
        <w:rPr>
          <w:rFonts w:eastAsiaTheme="minorHAnsi"/>
          <w:lang w:eastAsia="en-US"/>
        </w:rPr>
        <w:t>š</w:t>
      </w:r>
      <w:r w:rsidR="00EC3A89" w:rsidRPr="002F41F2">
        <w:rPr>
          <w:rFonts w:eastAsiaTheme="minorHAnsi"/>
          <w:lang w:eastAsia="en-US"/>
        </w:rPr>
        <w:t>Į „</w:t>
      </w:r>
      <w:proofErr w:type="spellStart"/>
      <w:r w:rsidR="00EC3A89" w:rsidRPr="002F41F2">
        <w:rPr>
          <w:rFonts w:eastAsiaTheme="minorHAnsi"/>
          <w:lang w:eastAsia="en-US"/>
        </w:rPr>
        <w:t>Edukateka</w:t>
      </w:r>
      <w:proofErr w:type="spellEnd"/>
      <w:r w:rsidR="00EC3A89" w:rsidRPr="002F41F2">
        <w:rPr>
          <w:rFonts w:eastAsiaTheme="minorHAnsi"/>
          <w:lang w:eastAsia="en-US"/>
        </w:rPr>
        <w:t>“ organizuota</w:t>
      </w:r>
      <w:r w:rsidR="008C57D5">
        <w:rPr>
          <w:rFonts w:eastAsiaTheme="minorHAnsi"/>
          <w:lang w:eastAsia="en-US"/>
        </w:rPr>
        <w:t>s</w:t>
      </w:r>
      <w:r w:rsidR="00112081" w:rsidRPr="002F41F2">
        <w:rPr>
          <w:rFonts w:eastAsiaTheme="minorHAnsi"/>
          <w:lang w:eastAsia="en-US"/>
        </w:rPr>
        <w:t xml:space="preserve"> seminar</w:t>
      </w:r>
      <w:r w:rsidR="008C57D5">
        <w:rPr>
          <w:rFonts w:eastAsiaTheme="minorHAnsi"/>
          <w:lang w:eastAsia="en-US"/>
        </w:rPr>
        <w:t>as</w:t>
      </w:r>
      <w:r w:rsidR="00112081" w:rsidRPr="002F41F2">
        <w:rPr>
          <w:rFonts w:eastAsiaTheme="minorHAnsi"/>
          <w:lang w:eastAsia="en-US"/>
        </w:rPr>
        <w:t xml:space="preserve"> „Emocijų valdymas. Kaip įveikti scenos baimę?“</w:t>
      </w:r>
      <w:r w:rsidR="00EC3A89" w:rsidRPr="002F41F2">
        <w:rPr>
          <w:rFonts w:eastAsiaTheme="minorHAnsi"/>
          <w:lang w:eastAsia="en-US"/>
        </w:rPr>
        <w:t xml:space="preserve">; </w:t>
      </w:r>
      <w:r w:rsidR="002F41F2">
        <w:t xml:space="preserve">balandžio 2–9 d. </w:t>
      </w:r>
      <w:r w:rsidR="002F41F2" w:rsidRPr="002F41F2">
        <w:rPr>
          <w:rFonts w:eastAsiaTheme="minorHAnsi"/>
          <w:lang w:eastAsia="en-US"/>
        </w:rPr>
        <w:t>„Erasmus+“ suaugusiųjų švietimo mobilumo projekto „Liudviko Rėzos kultūros centro edukacinės ir projektinės veiklos tobulinimas“ darbo stebėjimo vizit</w:t>
      </w:r>
      <w:r w:rsidR="008C57D5">
        <w:rPr>
          <w:rFonts w:eastAsiaTheme="minorHAnsi"/>
          <w:lang w:eastAsia="en-US"/>
        </w:rPr>
        <w:t>as</w:t>
      </w:r>
      <w:r w:rsidR="002F41F2" w:rsidRPr="002F41F2">
        <w:rPr>
          <w:rFonts w:eastAsiaTheme="minorHAnsi"/>
          <w:lang w:eastAsia="en-US"/>
        </w:rPr>
        <w:t xml:space="preserve"> Italijoje, </w:t>
      </w:r>
      <w:proofErr w:type="spellStart"/>
      <w:r w:rsidR="002F41F2" w:rsidRPr="002F41F2">
        <w:rPr>
          <w:rFonts w:eastAsiaTheme="minorHAnsi"/>
          <w:lang w:eastAsia="en-US"/>
        </w:rPr>
        <w:t>Peskaroje</w:t>
      </w:r>
      <w:proofErr w:type="spellEnd"/>
      <w:r w:rsidR="002F41F2" w:rsidRPr="002F41F2">
        <w:rPr>
          <w:rFonts w:eastAsiaTheme="minorHAnsi"/>
          <w:lang w:eastAsia="en-US"/>
        </w:rPr>
        <w:t xml:space="preserve"> „</w:t>
      </w:r>
      <w:proofErr w:type="spellStart"/>
      <w:r w:rsidR="002F41F2" w:rsidRPr="002F41F2">
        <w:rPr>
          <w:rFonts w:eastAsiaTheme="minorHAnsi"/>
          <w:lang w:eastAsia="en-US"/>
        </w:rPr>
        <w:t>Submeet</w:t>
      </w:r>
      <w:proofErr w:type="spellEnd"/>
      <w:r w:rsidR="002F41F2" w:rsidRPr="002F41F2">
        <w:rPr>
          <w:rFonts w:eastAsiaTheme="minorHAnsi"/>
          <w:lang w:eastAsia="en-US"/>
        </w:rPr>
        <w:t xml:space="preserve"> – </w:t>
      </w:r>
      <w:proofErr w:type="spellStart"/>
      <w:r w:rsidR="002F41F2" w:rsidRPr="002F41F2">
        <w:rPr>
          <w:rFonts w:eastAsiaTheme="minorHAnsi"/>
          <w:lang w:eastAsia="en-US"/>
        </w:rPr>
        <w:t>Incontrarsi</w:t>
      </w:r>
      <w:proofErr w:type="spellEnd"/>
      <w:r w:rsidR="002F41F2" w:rsidRPr="002F41F2">
        <w:rPr>
          <w:rFonts w:eastAsiaTheme="minorHAnsi"/>
          <w:lang w:eastAsia="en-US"/>
        </w:rPr>
        <w:t xml:space="preserve"> per </w:t>
      </w:r>
      <w:proofErr w:type="spellStart"/>
      <w:r w:rsidR="002F41F2" w:rsidRPr="002F41F2">
        <w:rPr>
          <w:rFonts w:eastAsiaTheme="minorHAnsi"/>
          <w:lang w:eastAsia="en-US"/>
        </w:rPr>
        <w:t>Crescere</w:t>
      </w:r>
      <w:proofErr w:type="spellEnd"/>
      <w:r w:rsidR="00962465">
        <w:rPr>
          <w:rFonts w:eastAsiaTheme="minorHAnsi"/>
          <w:lang w:eastAsia="en-US"/>
        </w:rPr>
        <w:t xml:space="preserve">“ </w:t>
      </w:r>
      <w:r w:rsidR="002F41F2" w:rsidRPr="002F41F2">
        <w:rPr>
          <w:rFonts w:eastAsiaTheme="minorHAnsi"/>
          <w:lang w:eastAsia="en-US"/>
        </w:rPr>
        <w:t>asociacijoje</w:t>
      </w:r>
      <w:r w:rsidR="002F41F2">
        <w:rPr>
          <w:rFonts w:eastAsiaTheme="minorHAnsi"/>
          <w:lang w:eastAsia="en-US"/>
        </w:rPr>
        <w:t xml:space="preserve">; </w:t>
      </w:r>
      <w:r w:rsidR="00EC3A89" w:rsidRPr="002F41F2">
        <w:rPr>
          <w:rFonts w:eastAsiaTheme="minorHAnsi"/>
          <w:lang w:eastAsia="en-US"/>
        </w:rPr>
        <w:t>s</w:t>
      </w:r>
      <w:r w:rsidR="00BE2D0E" w:rsidRPr="002F41F2">
        <w:rPr>
          <w:rFonts w:eastAsiaTheme="minorHAnsi"/>
          <w:lang w:eastAsia="en-US"/>
        </w:rPr>
        <w:t>palio 11,</w:t>
      </w:r>
      <w:r w:rsidR="00EC3A89" w:rsidRPr="002F41F2">
        <w:rPr>
          <w:rFonts w:eastAsiaTheme="minorHAnsi"/>
          <w:lang w:eastAsia="en-US"/>
        </w:rPr>
        <w:t xml:space="preserve"> </w:t>
      </w:r>
      <w:r w:rsidR="00BE2D0E" w:rsidRPr="002F41F2">
        <w:rPr>
          <w:rFonts w:eastAsiaTheme="minorHAnsi"/>
          <w:lang w:eastAsia="en-US"/>
        </w:rPr>
        <w:t>19 ir 25 d</w:t>
      </w:r>
      <w:r w:rsidR="00EC3A89" w:rsidRPr="002F41F2">
        <w:rPr>
          <w:rFonts w:eastAsiaTheme="minorHAnsi"/>
          <w:lang w:eastAsia="en-US"/>
        </w:rPr>
        <w:t>ienomis</w:t>
      </w:r>
      <w:r w:rsidR="00BE2D0E" w:rsidRPr="002F41F2">
        <w:rPr>
          <w:rFonts w:eastAsiaTheme="minorHAnsi"/>
          <w:lang w:eastAsia="en-US"/>
        </w:rPr>
        <w:t xml:space="preserve"> Lietuvos nacionalinės Martyno Mažvydo bibliotekos organizuojamos virtualios konsultacijos kultūros paso paslaugų teikėjams</w:t>
      </w:r>
      <w:r w:rsidR="00EC3A89" w:rsidRPr="002F41F2">
        <w:rPr>
          <w:rFonts w:eastAsiaTheme="minorHAnsi"/>
          <w:lang w:eastAsia="en-US"/>
        </w:rPr>
        <w:t xml:space="preserve">; </w:t>
      </w:r>
      <w:r w:rsidR="00112081" w:rsidRPr="002F41F2">
        <w:rPr>
          <w:rFonts w:eastAsiaTheme="minorHAnsi"/>
          <w:lang w:eastAsia="en-US"/>
        </w:rPr>
        <w:t xml:space="preserve">spalio 27 d.  </w:t>
      </w:r>
      <w:r w:rsidR="00EC3A89" w:rsidRPr="002F41F2">
        <w:rPr>
          <w:rFonts w:eastAsiaTheme="minorHAnsi"/>
          <w:lang w:eastAsia="en-US"/>
        </w:rPr>
        <w:t>p</w:t>
      </w:r>
      <w:r w:rsidR="00112081" w:rsidRPr="002F41F2">
        <w:rPr>
          <w:rFonts w:eastAsiaTheme="minorHAnsi"/>
          <w:lang w:eastAsia="en-US"/>
        </w:rPr>
        <w:t>asirengimo 2024 m. Dainų šventės Folkloro dienos programai nuotolini</w:t>
      </w:r>
      <w:r w:rsidR="008C57D5">
        <w:rPr>
          <w:rFonts w:eastAsiaTheme="minorHAnsi"/>
          <w:lang w:eastAsia="en-US"/>
        </w:rPr>
        <w:t>s</w:t>
      </w:r>
      <w:r w:rsidR="00112081" w:rsidRPr="002F41F2">
        <w:rPr>
          <w:rFonts w:eastAsiaTheme="minorHAnsi"/>
          <w:lang w:eastAsia="en-US"/>
        </w:rPr>
        <w:t xml:space="preserve"> seminar</w:t>
      </w:r>
      <w:r w:rsidR="008C57D5">
        <w:rPr>
          <w:rFonts w:eastAsiaTheme="minorHAnsi"/>
          <w:lang w:eastAsia="en-US"/>
        </w:rPr>
        <w:t>as</w:t>
      </w:r>
      <w:r w:rsidR="00EC3A89" w:rsidRPr="002F41F2">
        <w:rPr>
          <w:rFonts w:eastAsiaTheme="minorHAnsi"/>
          <w:lang w:eastAsia="en-US"/>
        </w:rPr>
        <w:t>; g</w:t>
      </w:r>
      <w:r w:rsidR="009E0DDC" w:rsidRPr="002F41F2">
        <w:rPr>
          <w:rFonts w:eastAsiaTheme="minorHAnsi"/>
          <w:lang w:eastAsia="en-US"/>
        </w:rPr>
        <w:t xml:space="preserve">ruodžio 2 d. </w:t>
      </w:r>
      <w:r w:rsidR="007C296A" w:rsidRPr="002F41F2">
        <w:rPr>
          <w:rFonts w:eastAsiaTheme="minorHAnsi"/>
          <w:lang w:eastAsia="en-US"/>
        </w:rPr>
        <w:t>UAB „Mokesčių srautas“</w:t>
      </w:r>
      <w:r w:rsidR="009E0DDC" w:rsidRPr="002F41F2">
        <w:rPr>
          <w:rFonts w:eastAsiaTheme="minorHAnsi"/>
          <w:lang w:eastAsia="en-US"/>
        </w:rPr>
        <w:t xml:space="preserve"> </w:t>
      </w:r>
      <w:r w:rsidR="00EC3A89" w:rsidRPr="002F41F2">
        <w:rPr>
          <w:rFonts w:eastAsiaTheme="minorHAnsi"/>
          <w:lang w:eastAsia="en-US"/>
        </w:rPr>
        <w:t>organizuot</w:t>
      </w:r>
      <w:r w:rsidR="008C57D5">
        <w:rPr>
          <w:rFonts w:eastAsiaTheme="minorHAnsi"/>
          <w:lang w:eastAsia="en-US"/>
        </w:rPr>
        <w:t>i</w:t>
      </w:r>
      <w:r w:rsidR="00EC3A89" w:rsidRPr="002F41F2">
        <w:rPr>
          <w:rFonts w:eastAsiaTheme="minorHAnsi"/>
          <w:lang w:eastAsia="en-US"/>
        </w:rPr>
        <w:t xml:space="preserve"> </w:t>
      </w:r>
      <w:r w:rsidR="008C57D5">
        <w:rPr>
          <w:rFonts w:eastAsiaTheme="minorHAnsi"/>
          <w:lang w:eastAsia="en-US"/>
        </w:rPr>
        <w:t xml:space="preserve">nuotoliniai </w:t>
      </w:r>
      <w:r w:rsidR="009E0DDC" w:rsidRPr="002F41F2">
        <w:rPr>
          <w:rFonts w:eastAsiaTheme="minorHAnsi"/>
          <w:lang w:eastAsia="en-US"/>
        </w:rPr>
        <w:t>mokym</w:t>
      </w:r>
      <w:r w:rsidR="008C57D5">
        <w:rPr>
          <w:rFonts w:eastAsiaTheme="minorHAnsi"/>
          <w:lang w:eastAsia="en-US"/>
        </w:rPr>
        <w:t>ai</w:t>
      </w:r>
      <w:r w:rsidR="009E0DDC" w:rsidRPr="002F41F2">
        <w:rPr>
          <w:rFonts w:eastAsiaTheme="minorHAnsi"/>
          <w:lang w:eastAsia="en-US"/>
        </w:rPr>
        <w:t xml:space="preserve"> „Darbo kodekso pakeitimų ir mokesčių naujovių taikymas skaičiuojant darbo užmokestį 2023 m.“</w:t>
      </w:r>
      <w:r w:rsidR="00827A7E">
        <w:rPr>
          <w:rFonts w:eastAsiaTheme="minorHAnsi"/>
          <w:lang w:eastAsia="en-US"/>
        </w:rPr>
        <w:t xml:space="preserve">; </w:t>
      </w:r>
      <w:r w:rsidR="00EC3A89" w:rsidRPr="002F41F2">
        <w:rPr>
          <w:rFonts w:eastAsiaTheme="minorHAnsi"/>
          <w:lang w:eastAsia="en-US"/>
        </w:rPr>
        <w:t>g</w:t>
      </w:r>
      <w:r w:rsidR="00112081" w:rsidRPr="002F41F2">
        <w:rPr>
          <w:rFonts w:eastAsiaTheme="minorHAnsi"/>
          <w:lang w:eastAsia="en-US"/>
        </w:rPr>
        <w:t>ruodžio 12</w:t>
      </w:r>
      <w:r w:rsidR="00827A7E">
        <w:rPr>
          <w:rFonts w:eastAsiaTheme="minorHAnsi"/>
          <w:lang w:eastAsia="en-US"/>
        </w:rPr>
        <w:t>–</w:t>
      </w:r>
      <w:r w:rsidR="00112081" w:rsidRPr="002F41F2">
        <w:rPr>
          <w:rFonts w:eastAsiaTheme="minorHAnsi"/>
          <w:lang w:eastAsia="en-US"/>
        </w:rPr>
        <w:t>22 d. nuotolini</w:t>
      </w:r>
      <w:r w:rsidR="00827A7E">
        <w:rPr>
          <w:rFonts w:eastAsiaTheme="minorHAnsi"/>
          <w:lang w:eastAsia="en-US"/>
        </w:rPr>
        <w:t>ai</w:t>
      </w:r>
      <w:r w:rsidR="00112081" w:rsidRPr="002F41F2">
        <w:rPr>
          <w:rFonts w:eastAsiaTheme="minorHAnsi"/>
          <w:lang w:eastAsia="en-US"/>
        </w:rPr>
        <w:t xml:space="preserve"> kvalifikacijos tobulinimo mokym</w:t>
      </w:r>
      <w:r w:rsidR="00827A7E">
        <w:rPr>
          <w:rFonts w:eastAsiaTheme="minorHAnsi"/>
          <w:lang w:eastAsia="en-US"/>
        </w:rPr>
        <w:t>ai</w:t>
      </w:r>
      <w:r w:rsidR="00112081" w:rsidRPr="002F41F2">
        <w:rPr>
          <w:rFonts w:eastAsiaTheme="minorHAnsi"/>
          <w:lang w:eastAsia="en-US"/>
        </w:rPr>
        <w:t xml:space="preserve"> kultūros centrų kultūros ir meno darbuotojams, kuriuos organizavo Lietuvos nacionalinis kultūros centras</w:t>
      </w:r>
      <w:r w:rsidR="002F41F2" w:rsidRPr="002F41F2">
        <w:rPr>
          <w:rFonts w:eastAsiaTheme="minorHAnsi"/>
          <w:lang w:eastAsia="en-US"/>
        </w:rPr>
        <w:t xml:space="preserve">; </w:t>
      </w:r>
      <w:r w:rsidR="00A0249C" w:rsidRPr="002F41F2">
        <w:rPr>
          <w:rFonts w:eastAsiaTheme="minorHAnsi"/>
          <w:lang w:eastAsia="en-US"/>
        </w:rPr>
        <w:t xml:space="preserve">gruodžio 15 d. </w:t>
      </w:r>
      <w:r w:rsidR="007C296A" w:rsidRPr="002F41F2">
        <w:rPr>
          <w:rFonts w:eastAsiaTheme="minorHAnsi"/>
          <w:lang w:eastAsia="en-US"/>
        </w:rPr>
        <w:t>UAB „Žinių centras“</w:t>
      </w:r>
      <w:r w:rsidR="00A0249C" w:rsidRPr="002F41F2">
        <w:rPr>
          <w:rFonts w:eastAsiaTheme="minorHAnsi"/>
          <w:lang w:eastAsia="en-US"/>
        </w:rPr>
        <w:t xml:space="preserve"> </w:t>
      </w:r>
      <w:r w:rsidR="00827A7E" w:rsidRPr="002F41F2">
        <w:rPr>
          <w:rFonts w:eastAsiaTheme="minorHAnsi"/>
          <w:lang w:eastAsia="en-US"/>
        </w:rPr>
        <w:t>organizuot</w:t>
      </w:r>
      <w:r w:rsidR="00827A7E">
        <w:rPr>
          <w:rFonts w:eastAsiaTheme="minorHAnsi"/>
          <w:lang w:eastAsia="en-US"/>
        </w:rPr>
        <w:t>i</w:t>
      </w:r>
      <w:r w:rsidR="00827A7E" w:rsidRPr="002F41F2">
        <w:rPr>
          <w:rFonts w:eastAsiaTheme="minorHAnsi"/>
          <w:lang w:eastAsia="en-US"/>
        </w:rPr>
        <w:t xml:space="preserve"> </w:t>
      </w:r>
      <w:r w:rsidR="00827A7E">
        <w:rPr>
          <w:rFonts w:eastAsiaTheme="minorHAnsi"/>
          <w:lang w:eastAsia="en-US"/>
        </w:rPr>
        <w:t xml:space="preserve">nuotoliniai </w:t>
      </w:r>
      <w:r w:rsidR="00827A7E" w:rsidRPr="002F41F2">
        <w:rPr>
          <w:rFonts w:eastAsiaTheme="minorHAnsi"/>
          <w:lang w:eastAsia="en-US"/>
        </w:rPr>
        <w:t>mokym</w:t>
      </w:r>
      <w:r w:rsidR="00827A7E">
        <w:rPr>
          <w:rFonts w:eastAsiaTheme="minorHAnsi"/>
          <w:lang w:eastAsia="en-US"/>
        </w:rPr>
        <w:t>ai</w:t>
      </w:r>
      <w:r w:rsidR="00827A7E" w:rsidRPr="002F41F2">
        <w:rPr>
          <w:rFonts w:eastAsiaTheme="minorHAnsi"/>
          <w:lang w:eastAsia="en-US"/>
        </w:rPr>
        <w:t xml:space="preserve"> </w:t>
      </w:r>
      <w:r w:rsidR="00A0249C" w:rsidRPr="002F41F2">
        <w:rPr>
          <w:rFonts w:eastAsiaTheme="minorHAnsi"/>
          <w:lang w:eastAsia="en-US"/>
        </w:rPr>
        <w:t>„LR Darbo kodekso ir personalo dokumentų aktualijos 2022</w:t>
      </w:r>
      <w:r w:rsidR="00827A7E">
        <w:rPr>
          <w:rFonts w:eastAsiaTheme="minorHAnsi"/>
          <w:lang w:eastAsia="en-US"/>
        </w:rPr>
        <w:t>–</w:t>
      </w:r>
      <w:r w:rsidR="00A0249C" w:rsidRPr="002F41F2">
        <w:rPr>
          <w:rFonts w:eastAsiaTheme="minorHAnsi"/>
          <w:lang w:eastAsia="en-US"/>
        </w:rPr>
        <w:t>2023</w:t>
      </w:r>
      <w:r w:rsidR="00827A7E">
        <w:rPr>
          <w:rFonts w:eastAsiaTheme="minorHAnsi"/>
          <w:lang w:eastAsia="en-US"/>
        </w:rPr>
        <w:t xml:space="preserve"> </w:t>
      </w:r>
      <w:r w:rsidR="00A0249C" w:rsidRPr="002F41F2">
        <w:rPr>
          <w:rFonts w:eastAsiaTheme="minorHAnsi"/>
          <w:lang w:eastAsia="en-US"/>
        </w:rPr>
        <w:t>m.“</w:t>
      </w:r>
      <w:r w:rsidR="00827A7E">
        <w:rPr>
          <w:rFonts w:eastAsiaTheme="minorHAnsi"/>
          <w:lang w:eastAsia="en-US"/>
        </w:rPr>
        <w:t xml:space="preserve">; </w:t>
      </w:r>
      <w:r w:rsidR="007C296A" w:rsidRPr="002F41F2">
        <w:rPr>
          <w:rFonts w:eastAsiaTheme="minorHAnsi"/>
          <w:lang w:eastAsia="en-US"/>
        </w:rPr>
        <w:t>V</w:t>
      </w:r>
      <w:r w:rsidR="00962465">
        <w:rPr>
          <w:rFonts w:eastAsiaTheme="minorHAnsi"/>
          <w:lang w:eastAsia="en-US"/>
        </w:rPr>
        <w:t>š</w:t>
      </w:r>
      <w:r w:rsidR="007C296A" w:rsidRPr="002F41F2">
        <w:rPr>
          <w:rFonts w:eastAsiaTheme="minorHAnsi"/>
          <w:lang w:eastAsia="en-US"/>
        </w:rPr>
        <w:t>Į Klaipėdos turizmo ir kultūros centr</w:t>
      </w:r>
      <w:r w:rsidR="002F41F2" w:rsidRPr="002F41F2">
        <w:rPr>
          <w:rFonts w:eastAsiaTheme="minorHAnsi"/>
          <w:lang w:eastAsia="en-US"/>
        </w:rPr>
        <w:t>o organizuo</w:t>
      </w:r>
      <w:r w:rsidR="00827A7E">
        <w:rPr>
          <w:rFonts w:eastAsiaTheme="minorHAnsi"/>
          <w:lang w:eastAsia="en-US"/>
        </w:rPr>
        <w:t>ti</w:t>
      </w:r>
      <w:r w:rsidR="007C296A" w:rsidRPr="002F41F2">
        <w:rPr>
          <w:rFonts w:eastAsiaTheme="minorHAnsi"/>
          <w:lang w:eastAsia="en-US"/>
        </w:rPr>
        <w:t xml:space="preserve"> </w:t>
      </w:r>
      <w:r w:rsidR="009E0DDC" w:rsidRPr="002F41F2">
        <w:rPr>
          <w:rFonts w:eastAsiaTheme="minorHAnsi"/>
          <w:lang w:eastAsia="en-US"/>
        </w:rPr>
        <w:t xml:space="preserve">gidų </w:t>
      </w:r>
      <w:r w:rsidR="007C296A" w:rsidRPr="002F41F2">
        <w:rPr>
          <w:rFonts w:eastAsiaTheme="minorHAnsi"/>
          <w:lang w:eastAsia="en-US"/>
        </w:rPr>
        <w:t>mokym</w:t>
      </w:r>
      <w:r w:rsidR="003C1B3A">
        <w:rPr>
          <w:rFonts w:eastAsiaTheme="minorHAnsi"/>
          <w:lang w:eastAsia="en-US"/>
        </w:rPr>
        <w:t>ai</w:t>
      </w:r>
      <w:r w:rsidR="002F41F2">
        <w:rPr>
          <w:rFonts w:eastAsiaTheme="minorHAnsi"/>
          <w:lang w:eastAsia="en-US"/>
        </w:rPr>
        <w:t>;</w:t>
      </w:r>
      <w:r w:rsidR="00EE2C13" w:rsidRPr="002F41F2">
        <w:rPr>
          <w:rFonts w:eastAsiaTheme="minorHAnsi"/>
          <w:lang w:eastAsia="en-US"/>
        </w:rPr>
        <w:t xml:space="preserve"> 48 ak. val. profesinės anglų kalbos B1 lygio mokym</w:t>
      </w:r>
      <w:r w:rsidR="00827A7E">
        <w:rPr>
          <w:rFonts w:eastAsiaTheme="minorHAnsi"/>
          <w:lang w:eastAsia="en-US"/>
        </w:rPr>
        <w:t>ai</w:t>
      </w:r>
      <w:r w:rsidR="00EE2C13" w:rsidRPr="002F41F2">
        <w:rPr>
          <w:rFonts w:eastAsiaTheme="minorHAnsi"/>
          <w:lang w:eastAsia="en-US"/>
        </w:rPr>
        <w:t xml:space="preserve"> kino, bibliotekų ir kultūros centrų darbuotojams</w:t>
      </w:r>
      <w:r w:rsidR="002F41F2">
        <w:rPr>
          <w:rFonts w:eastAsiaTheme="minorHAnsi"/>
          <w:lang w:eastAsia="en-US"/>
        </w:rPr>
        <w:t>.</w:t>
      </w:r>
      <w:r w:rsidR="00EE2C13" w:rsidRPr="002F41F2">
        <w:rPr>
          <w:rFonts w:eastAsiaTheme="minorHAnsi"/>
          <w:lang w:eastAsia="en-US"/>
        </w:rPr>
        <w:t xml:space="preserve"> </w:t>
      </w:r>
    </w:p>
    <w:p w14:paraId="24E2602C" w14:textId="77777777" w:rsidR="00C36B47" w:rsidRPr="00CE196D" w:rsidRDefault="00C36B47" w:rsidP="00CE196D">
      <w:pPr>
        <w:ind w:left="360"/>
      </w:pPr>
    </w:p>
    <w:p w14:paraId="7303E6B1" w14:textId="77777777" w:rsidR="00ED3C16" w:rsidRDefault="00AC6FF6" w:rsidP="00827A7E">
      <w:pPr>
        <w:ind w:firstLine="1134"/>
        <w:jc w:val="both"/>
      </w:pPr>
      <w:r w:rsidRPr="00FB73D2">
        <w:rPr>
          <w:u w:val="single"/>
        </w:rPr>
        <w:t>1.4. Projektinė veikla</w:t>
      </w:r>
      <w:r w:rsidR="008C5795" w:rsidRPr="00FB73D2">
        <w:rPr>
          <w:u w:val="single"/>
        </w:rPr>
        <w:t>.</w:t>
      </w:r>
      <w:r w:rsidR="008C5795" w:rsidRPr="00CB726B">
        <w:t xml:space="preserve"> </w:t>
      </w:r>
    </w:p>
    <w:p w14:paraId="79014506" w14:textId="5944F8CB" w:rsidR="00FF1538" w:rsidRDefault="00C36B47" w:rsidP="00827A7E">
      <w:pPr>
        <w:ind w:firstLine="1134"/>
        <w:jc w:val="both"/>
      </w:pPr>
      <w:r>
        <w:t>Į</w:t>
      </w:r>
      <w:r w:rsidR="00E62671" w:rsidRPr="00CB726B">
        <w:t>gyvendint</w:t>
      </w:r>
      <w:r w:rsidR="00827A7E">
        <w:t>as</w:t>
      </w:r>
      <w:r w:rsidR="00E62671" w:rsidRPr="00CB726B">
        <w:t xml:space="preserve"> projektas </w:t>
      </w:r>
      <w:r w:rsidR="00161B5B" w:rsidRPr="00CB726B">
        <w:t>„Istorinės ekspozicijos apie Juodkrantės žvejų gyvenimą atnaujinimas“</w:t>
      </w:r>
      <w:r w:rsidR="00E62671" w:rsidRPr="00CB726B">
        <w:t>, finansuojamas pagal Nacionalinės mokėjimo agentūros prie Žemės ūkio ministerijos priemonę</w:t>
      </w:r>
      <w:r w:rsidR="008972A6" w:rsidRPr="00CB726B">
        <w:t xml:space="preserve">; </w:t>
      </w:r>
      <w:r w:rsidR="00861936" w:rsidRPr="00CB726B">
        <w:t>įgyvendint</w:t>
      </w:r>
      <w:r w:rsidR="008972A6" w:rsidRPr="00CB726B">
        <w:t>i</w:t>
      </w:r>
      <w:r w:rsidR="00861936" w:rsidRPr="00CB726B">
        <w:t xml:space="preserve"> Lietuvos kultūros tarybos iš dalies finansuot</w:t>
      </w:r>
      <w:r w:rsidR="008972A6" w:rsidRPr="00CB726B">
        <w:t>i</w:t>
      </w:r>
      <w:r w:rsidR="00861936" w:rsidRPr="00CB726B">
        <w:t xml:space="preserve"> projekta</w:t>
      </w:r>
      <w:r w:rsidR="008972A6" w:rsidRPr="00CB726B">
        <w:t>i:</w:t>
      </w:r>
      <w:r w:rsidR="00D2111D" w:rsidRPr="00CB726B">
        <w:t xml:space="preserve"> </w:t>
      </w:r>
      <w:r w:rsidR="00827A7E">
        <w:t>„</w:t>
      </w:r>
      <w:r w:rsidR="00861936" w:rsidRPr="00CB726B">
        <w:t xml:space="preserve">Folkloro šventė „Pūsk, </w:t>
      </w:r>
      <w:proofErr w:type="spellStart"/>
      <w:r w:rsidR="00861936" w:rsidRPr="00CB726B">
        <w:t>vėjuži</w:t>
      </w:r>
      <w:proofErr w:type="spellEnd"/>
      <w:r w:rsidR="00861936" w:rsidRPr="00CB726B">
        <w:t xml:space="preserve">!“, „Tarptautinis jaunųjų vokalistų festivalis-konkursas </w:t>
      </w:r>
      <w:r w:rsidR="008B0241">
        <w:t>„</w:t>
      </w:r>
      <w:r w:rsidR="00861936" w:rsidRPr="00CB726B">
        <w:t xml:space="preserve">Baltic </w:t>
      </w:r>
      <w:proofErr w:type="spellStart"/>
      <w:r w:rsidR="00861936" w:rsidRPr="00CB726B">
        <w:t>Voice</w:t>
      </w:r>
      <w:proofErr w:type="spellEnd"/>
      <w:r w:rsidR="008B0241">
        <w:t>“</w:t>
      </w:r>
      <w:r w:rsidR="00861936" w:rsidRPr="00CB726B">
        <w:t>; „Festivalis Juodkrantės kurorto dienos“</w:t>
      </w:r>
      <w:r w:rsidR="004B2187" w:rsidRPr="00CB726B">
        <w:t xml:space="preserve">. </w:t>
      </w:r>
      <w:r>
        <w:t>Tęsiam</w:t>
      </w:r>
      <w:r w:rsidR="00827A7E">
        <w:t>o</w:t>
      </w:r>
      <w:r>
        <w:t>s</w:t>
      </w:r>
      <w:r w:rsidR="0073401B">
        <w:t xml:space="preserve"> </w:t>
      </w:r>
      <w:r w:rsidR="00781AD4" w:rsidRPr="006A0C24">
        <w:t>Švietimo mainų paramos fond</w:t>
      </w:r>
      <w:r w:rsidR="0027258B" w:rsidRPr="006A0C24">
        <w:t>o finansuojamos</w:t>
      </w:r>
      <w:r w:rsidR="00781AD4" w:rsidRPr="006A0C24">
        <w:t xml:space="preserve"> </w:t>
      </w:r>
      <w:r w:rsidR="0027258B" w:rsidRPr="006A0C24">
        <w:t>p</w:t>
      </w:r>
      <w:r w:rsidR="00781AD4" w:rsidRPr="006A0C24">
        <w:t xml:space="preserve">rogramos </w:t>
      </w:r>
      <w:r w:rsidR="00781AD4" w:rsidRPr="0027258B">
        <w:t>Erasmus+ projekt</w:t>
      </w:r>
      <w:r w:rsidR="0073401B" w:rsidRPr="0027258B">
        <w:t>o</w:t>
      </w:r>
      <w:r w:rsidR="00781AD4" w:rsidRPr="0027258B">
        <w:t xml:space="preserve"> „Liudviko Rėzos kultūros centro edukacinės ir projektinės veiklos tobulinimas“ </w:t>
      </w:r>
      <w:r w:rsidR="0073401B" w:rsidRPr="0027258B">
        <w:t>veiklos.</w:t>
      </w:r>
      <w:r w:rsidR="00C628F7">
        <w:t xml:space="preserve"> </w:t>
      </w:r>
    </w:p>
    <w:p w14:paraId="452F32A1" w14:textId="77777777" w:rsidR="00827A7E" w:rsidRDefault="00827A7E" w:rsidP="00B3647D">
      <w:pPr>
        <w:rPr>
          <w:u w:val="single"/>
        </w:rPr>
      </w:pPr>
    </w:p>
    <w:p w14:paraId="1F294B71" w14:textId="77777777" w:rsidR="00ED3C16" w:rsidRDefault="008C5795" w:rsidP="00827A7E">
      <w:pPr>
        <w:ind w:firstLine="1134"/>
        <w:jc w:val="both"/>
      </w:pPr>
      <w:r w:rsidRPr="00E366C5">
        <w:rPr>
          <w:u w:val="single"/>
        </w:rPr>
        <w:t>1.5. B</w:t>
      </w:r>
      <w:r w:rsidR="00AC6FF6" w:rsidRPr="00E366C5">
        <w:rPr>
          <w:u w:val="single"/>
        </w:rPr>
        <w:t>endradarbiavimas</w:t>
      </w:r>
      <w:r w:rsidRPr="00E366C5">
        <w:rPr>
          <w:u w:val="single"/>
        </w:rPr>
        <w:t>.</w:t>
      </w:r>
      <w:r w:rsidRPr="00E366C5">
        <w:t xml:space="preserve"> </w:t>
      </w:r>
    </w:p>
    <w:p w14:paraId="6E4E533A" w14:textId="7738121E" w:rsidR="00B3647D" w:rsidRPr="00C36B47" w:rsidRDefault="00DE1D49" w:rsidP="00827A7E">
      <w:pPr>
        <w:ind w:firstLine="1134"/>
        <w:jc w:val="both"/>
      </w:pPr>
      <w:r w:rsidRPr="00E366C5">
        <w:t>P</w:t>
      </w:r>
      <w:r w:rsidR="00920A67" w:rsidRPr="00E366C5">
        <w:t>asirašyt</w:t>
      </w:r>
      <w:r w:rsidR="00827A7E">
        <w:t>os</w:t>
      </w:r>
      <w:r w:rsidR="00920A67" w:rsidRPr="00E366C5">
        <w:t xml:space="preserve"> </w:t>
      </w:r>
      <w:r w:rsidR="00C36B47">
        <w:t>4</w:t>
      </w:r>
      <w:r w:rsidR="00E366C5">
        <w:t xml:space="preserve"> </w:t>
      </w:r>
      <w:r w:rsidR="00920A67" w:rsidRPr="00D21559">
        <w:t>bendradarbiavimo suta</w:t>
      </w:r>
      <w:r w:rsidR="00E366C5">
        <w:t>rtys</w:t>
      </w:r>
      <w:r w:rsidR="00770E94" w:rsidRPr="00D21559">
        <w:t xml:space="preserve"> su: </w:t>
      </w:r>
      <w:r w:rsidR="00025432" w:rsidRPr="00D21559">
        <w:t>VšĮ</w:t>
      </w:r>
      <w:r w:rsidR="00C55400">
        <w:t xml:space="preserve"> Socialinių mokslų kolegija</w:t>
      </w:r>
      <w:r w:rsidR="00E366C5">
        <w:t xml:space="preserve">, </w:t>
      </w:r>
      <w:r w:rsidR="00D21559" w:rsidRPr="00D21559">
        <w:t>VšĮ</w:t>
      </w:r>
      <w:r w:rsidR="00C55400">
        <w:t xml:space="preserve"> Karaliaučiaus lietuvių bendruomen</w:t>
      </w:r>
      <w:r w:rsidR="00827A7E">
        <w:t>e</w:t>
      </w:r>
      <w:r w:rsidR="00D21559" w:rsidRPr="00D21559">
        <w:t xml:space="preserve">, </w:t>
      </w:r>
      <w:r w:rsidR="00173291" w:rsidRPr="00173291">
        <w:t xml:space="preserve">VšĮ </w:t>
      </w:r>
      <w:r w:rsidR="00C22E80">
        <w:t>š</w:t>
      </w:r>
      <w:r w:rsidR="00173291" w:rsidRPr="00173291">
        <w:t>okio teatr</w:t>
      </w:r>
      <w:r w:rsidR="00827A7E">
        <w:t>u</w:t>
      </w:r>
      <w:r w:rsidR="00173291" w:rsidRPr="00173291">
        <w:t xml:space="preserve"> </w:t>
      </w:r>
      <w:r w:rsidR="00827A7E">
        <w:t>„</w:t>
      </w:r>
      <w:r w:rsidR="00173291" w:rsidRPr="00173291">
        <w:t>Judesio erdvė</w:t>
      </w:r>
      <w:r w:rsidR="00827A7E">
        <w:t>“</w:t>
      </w:r>
      <w:r w:rsidR="004703BC">
        <w:t>, Klaipėdos savivaldybės Etnokultūros centru</w:t>
      </w:r>
      <w:r w:rsidR="00C36B47">
        <w:t>.</w:t>
      </w:r>
      <w:r w:rsidR="00D21559" w:rsidRPr="00D21559">
        <w:t xml:space="preserve"> </w:t>
      </w:r>
      <w:r w:rsidR="00B3647D" w:rsidRPr="00C36B47">
        <w:t xml:space="preserve">Bendradarbiavome </w:t>
      </w:r>
      <w:r w:rsidR="00C36B47" w:rsidRPr="00C36B47">
        <w:t xml:space="preserve">Neringos savivaldybės </w:t>
      </w:r>
      <w:r w:rsidR="00B3647D" w:rsidRPr="00C36B47">
        <w:t>projektuose: „Bendradarbiavimas per sieną, išsaugant kultūros paveldą turizmui ir bendruomenei“</w:t>
      </w:r>
      <w:r w:rsidR="003C1B3A">
        <w:t>,</w:t>
      </w:r>
      <w:r w:rsidR="00B3647D" w:rsidRPr="00C36B47">
        <w:t xml:space="preserve"> „Bendradarbiavimas per sieną nuo kranto iki kranto“</w:t>
      </w:r>
      <w:r w:rsidR="00827A7E">
        <w:t>,</w:t>
      </w:r>
      <w:r w:rsidR="00B3647D" w:rsidRPr="00C36B47">
        <w:t xml:space="preserve"> </w:t>
      </w:r>
      <w:r w:rsidR="00C36B47" w:rsidRPr="00C36B47">
        <w:t xml:space="preserve">dalyvavome jų </w:t>
      </w:r>
      <w:r w:rsidR="00B3647D" w:rsidRPr="00C36B47">
        <w:t>veiklose</w:t>
      </w:r>
      <w:r w:rsidR="00C36B47" w:rsidRPr="00C36B47">
        <w:t>.</w:t>
      </w:r>
      <w:r w:rsidR="00B3647D" w:rsidRPr="00C36B47">
        <w:t xml:space="preserve"> </w:t>
      </w:r>
      <w:r w:rsidR="00827A7E">
        <w:t>Liudviko Rėzos kultūros centras prisidėjo prie projektų įgyvendinimo</w:t>
      </w:r>
      <w:r w:rsidR="00C36B47" w:rsidRPr="00CB726B">
        <w:t xml:space="preserve">: Lietuvos filharmonijos organizuotas tarptautinis kamerinės muzikos festivalis „Kuršių nerija“, asociacijos Audiovizualinių menų industrijos inkubatoriaus organizuotos tarptautinės kūrybinės dirbtuvės „Vasaros </w:t>
      </w:r>
      <w:proofErr w:type="spellStart"/>
      <w:r w:rsidR="00C36B47" w:rsidRPr="00CB726B">
        <w:t>Media</w:t>
      </w:r>
      <w:proofErr w:type="spellEnd"/>
      <w:r w:rsidR="00C36B47" w:rsidRPr="00CB726B">
        <w:t xml:space="preserve"> Studija“, </w:t>
      </w:r>
      <w:r w:rsidR="00C36B47">
        <w:t>kartu su partneriais projekt</w:t>
      </w:r>
      <w:r w:rsidR="00827A7E">
        <w:t>as</w:t>
      </w:r>
      <w:r w:rsidR="00C36B47">
        <w:t xml:space="preserve"> </w:t>
      </w:r>
      <w:r w:rsidR="00C36B47" w:rsidRPr="00CB726B">
        <w:t>„Vėtrungių kelias“</w:t>
      </w:r>
      <w:r w:rsidR="00827A7E">
        <w:t>;</w:t>
      </w:r>
      <w:r w:rsidR="00C36B47">
        <w:t xml:space="preserve"> Neringos meno mokyklos ir VšĮ „Sveikas garsas“ projektas </w:t>
      </w:r>
      <w:r w:rsidR="00827A7E">
        <w:t>„</w:t>
      </w:r>
      <w:proofErr w:type="spellStart"/>
      <w:r w:rsidR="00C36B47">
        <w:t>Strengthening</w:t>
      </w:r>
      <w:proofErr w:type="spellEnd"/>
      <w:r w:rsidR="00C36B47">
        <w:t xml:space="preserve"> </w:t>
      </w:r>
      <w:proofErr w:type="spellStart"/>
      <w:r w:rsidR="00C36B47">
        <w:t>the</w:t>
      </w:r>
      <w:proofErr w:type="spellEnd"/>
      <w:r w:rsidR="00C36B47">
        <w:t xml:space="preserve"> </w:t>
      </w:r>
      <w:proofErr w:type="spellStart"/>
      <w:r w:rsidR="00C36B47">
        <w:t>capacity</w:t>
      </w:r>
      <w:proofErr w:type="spellEnd"/>
      <w:r w:rsidR="00C36B47">
        <w:t xml:space="preserve"> </w:t>
      </w:r>
      <w:proofErr w:type="spellStart"/>
      <w:r w:rsidR="00C36B47">
        <w:t>of</w:t>
      </w:r>
      <w:proofErr w:type="spellEnd"/>
      <w:r w:rsidR="00C36B47">
        <w:t xml:space="preserve"> </w:t>
      </w:r>
      <w:proofErr w:type="spellStart"/>
      <w:r w:rsidR="00C36B47">
        <w:t>local</w:t>
      </w:r>
      <w:proofErr w:type="spellEnd"/>
      <w:r w:rsidR="00C36B47">
        <w:t xml:space="preserve"> </w:t>
      </w:r>
      <w:proofErr w:type="spellStart"/>
      <w:r w:rsidR="00C36B47">
        <w:t>communities</w:t>
      </w:r>
      <w:proofErr w:type="spellEnd"/>
      <w:r w:rsidR="00C36B47">
        <w:t xml:space="preserve"> to </w:t>
      </w:r>
      <w:proofErr w:type="spellStart"/>
      <w:r w:rsidR="00C36B47">
        <w:t>provide</w:t>
      </w:r>
      <w:proofErr w:type="spellEnd"/>
      <w:r w:rsidR="00C36B47">
        <w:t xml:space="preserve"> </w:t>
      </w:r>
      <w:proofErr w:type="spellStart"/>
      <w:r w:rsidR="00C36B47">
        <w:t>community</w:t>
      </w:r>
      <w:proofErr w:type="spellEnd"/>
      <w:r w:rsidR="00C36B47">
        <w:t xml:space="preserve"> </w:t>
      </w:r>
      <w:proofErr w:type="spellStart"/>
      <w:r w:rsidR="00C36B47">
        <w:t>led</w:t>
      </w:r>
      <w:proofErr w:type="spellEnd"/>
      <w:r w:rsidR="00C36B47">
        <w:t xml:space="preserve"> </w:t>
      </w:r>
      <w:proofErr w:type="spellStart"/>
      <w:r w:rsidR="00C36B47">
        <w:t>services</w:t>
      </w:r>
      <w:proofErr w:type="spellEnd"/>
      <w:r w:rsidR="00C36B47">
        <w:t xml:space="preserve"> </w:t>
      </w:r>
      <w:proofErr w:type="spellStart"/>
      <w:r w:rsidR="00C36B47">
        <w:t>by</w:t>
      </w:r>
      <w:proofErr w:type="spellEnd"/>
      <w:r w:rsidR="00C36B47">
        <w:t xml:space="preserve"> </w:t>
      </w:r>
      <w:proofErr w:type="spellStart"/>
      <w:r w:rsidR="00C36B47">
        <w:t>means</w:t>
      </w:r>
      <w:proofErr w:type="spellEnd"/>
      <w:r w:rsidR="00C36B47">
        <w:t xml:space="preserve"> </w:t>
      </w:r>
      <w:proofErr w:type="spellStart"/>
      <w:r w:rsidR="00C36B47">
        <w:t>of</w:t>
      </w:r>
      <w:proofErr w:type="spellEnd"/>
      <w:r w:rsidR="00C36B47">
        <w:t xml:space="preserve"> </w:t>
      </w:r>
      <w:proofErr w:type="spellStart"/>
      <w:r w:rsidR="00C36B47">
        <w:t>promotion</w:t>
      </w:r>
      <w:proofErr w:type="spellEnd"/>
      <w:r w:rsidR="00C36B47">
        <w:t xml:space="preserve"> </w:t>
      </w:r>
      <w:proofErr w:type="spellStart"/>
      <w:r w:rsidR="00C36B47">
        <w:t>of</w:t>
      </w:r>
      <w:proofErr w:type="spellEnd"/>
      <w:r w:rsidR="00C36B47">
        <w:t xml:space="preserve"> </w:t>
      </w:r>
      <w:proofErr w:type="spellStart"/>
      <w:r w:rsidR="00C36B47">
        <w:t>cross-border</w:t>
      </w:r>
      <w:proofErr w:type="spellEnd"/>
      <w:r w:rsidR="00C36B47">
        <w:t xml:space="preserve"> </w:t>
      </w:r>
      <w:proofErr w:type="spellStart"/>
      <w:r w:rsidR="00C36B47">
        <w:t>cooperation</w:t>
      </w:r>
      <w:proofErr w:type="spellEnd"/>
      <w:r w:rsidR="00C36B47">
        <w:t xml:space="preserve"> </w:t>
      </w:r>
      <w:proofErr w:type="spellStart"/>
      <w:r w:rsidR="00C36B47">
        <w:t>between</w:t>
      </w:r>
      <w:proofErr w:type="spellEnd"/>
      <w:r w:rsidR="00C36B47">
        <w:t xml:space="preserve"> </w:t>
      </w:r>
      <w:proofErr w:type="spellStart"/>
      <w:r w:rsidR="00C36B47">
        <w:t>cultural</w:t>
      </w:r>
      <w:proofErr w:type="spellEnd"/>
      <w:r w:rsidR="00C36B47">
        <w:t xml:space="preserve"> </w:t>
      </w:r>
      <w:proofErr w:type="spellStart"/>
      <w:r w:rsidR="00C36B47">
        <w:t>institutions</w:t>
      </w:r>
      <w:proofErr w:type="spellEnd"/>
      <w:r w:rsidR="00827A7E">
        <w:t xml:space="preserve">“; </w:t>
      </w:r>
      <w:r w:rsidR="00C36B47">
        <w:t xml:space="preserve">Neringos gimnazijos projektas </w:t>
      </w:r>
      <w:r w:rsidR="00827A7E">
        <w:t>„</w:t>
      </w:r>
      <w:r w:rsidR="00B3647D" w:rsidRPr="00827A7E">
        <w:t>Sakralinės muzikos festivalis</w:t>
      </w:r>
      <w:r w:rsidR="00C36B47" w:rsidRPr="00827A7E">
        <w:t xml:space="preserve"> </w:t>
      </w:r>
      <w:r w:rsidR="00827A7E">
        <w:t>„</w:t>
      </w:r>
      <w:proofErr w:type="spellStart"/>
      <w:r w:rsidR="00B3647D" w:rsidRPr="00827A7E">
        <w:t>Laudate</w:t>
      </w:r>
      <w:proofErr w:type="spellEnd"/>
      <w:r w:rsidR="00B3647D" w:rsidRPr="00827A7E">
        <w:t xml:space="preserve"> </w:t>
      </w:r>
      <w:proofErr w:type="spellStart"/>
      <w:r w:rsidR="00B3647D" w:rsidRPr="00827A7E">
        <w:t>dominum</w:t>
      </w:r>
      <w:proofErr w:type="spellEnd"/>
      <w:r w:rsidR="00827A7E">
        <w:t>“</w:t>
      </w:r>
      <w:r w:rsidR="00827A7E" w:rsidRPr="00827A7E">
        <w:t>.</w:t>
      </w:r>
      <w:r w:rsidR="00827A7E">
        <w:t xml:space="preserve"> </w:t>
      </w:r>
      <w:r w:rsidR="00C36B47" w:rsidRPr="00C36B47">
        <w:t>Nuolat bendradarbiaujame su asociacija Juodkrantės bendruomen</w:t>
      </w:r>
      <w:r w:rsidR="003C1B3A">
        <w:t>e</w:t>
      </w:r>
      <w:r w:rsidR="00C36B47" w:rsidRPr="00C36B47">
        <w:t>, Kuršių nerijos nacionaliniu parku, Neringos gimnazija, Nidos kultūros ir turizmo informacijos centru „Agila“, Neringos meno mokykla, Neringos savivaldybės Viktoro Miliūno viešąja biblioteka, Neringos muziejais, Neringos sporto mokykla.</w:t>
      </w:r>
    </w:p>
    <w:p w14:paraId="0B139ADA" w14:textId="77777777" w:rsidR="00827A7E" w:rsidRDefault="00827A7E" w:rsidP="00413866">
      <w:pPr>
        <w:ind w:firstLine="1134"/>
        <w:jc w:val="both"/>
        <w:rPr>
          <w:u w:val="single"/>
        </w:rPr>
      </w:pPr>
    </w:p>
    <w:p w14:paraId="48001892" w14:textId="77777777" w:rsidR="00ED3C16" w:rsidRDefault="00F672C4" w:rsidP="00413866">
      <w:pPr>
        <w:ind w:firstLine="1134"/>
        <w:jc w:val="both"/>
      </w:pPr>
      <w:r w:rsidRPr="0027258B">
        <w:rPr>
          <w:u w:val="single"/>
        </w:rPr>
        <w:t>1.6. A</w:t>
      </w:r>
      <w:r w:rsidR="00742C7B" w:rsidRPr="0027258B">
        <w:rPr>
          <w:u w:val="single"/>
        </w:rPr>
        <w:t>tlikti auditai ir (ar) patikrinimai</w:t>
      </w:r>
      <w:r w:rsidR="004566D5" w:rsidRPr="0027258B">
        <w:rPr>
          <w:u w:val="single"/>
        </w:rPr>
        <w:t>.</w:t>
      </w:r>
      <w:r w:rsidRPr="0027258B">
        <w:t xml:space="preserve"> </w:t>
      </w:r>
    </w:p>
    <w:p w14:paraId="2F5F15D8" w14:textId="65DD4B6A" w:rsidR="008D15E4" w:rsidRDefault="00413866" w:rsidP="00413866">
      <w:pPr>
        <w:ind w:firstLine="1134"/>
        <w:jc w:val="both"/>
      </w:pPr>
      <w:r>
        <w:t xml:space="preserve">Rugsėjo mėn. buvo </w:t>
      </w:r>
      <w:r w:rsidR="00C36B47" w:rsidRPr="00C36B47">
        <w:rPr>
          <w:bCs/>
        </w:rPr>
        <w:t>programos „</w:t>
      </w:r>
      <w:r w:rsidR="00C36B47">
        <w:rPr>
          <w:bCs/>
        </w:rPr>
        <w:t>E</w:t>
      </w:r>
      <w:r w:rsidR="00C36B47" w:rsidRPr="00C36B47">
        <w:rPr>
          <w:bCs/>
        </w:rPr>
        <w:t>rasmus+“ 1 pagrindinio veiksmo projekto išsami finansinė patikra</w:t>
      </w:r>
      <w:r w:rsidR="004F7D43">
        <w:t>;</w:t>
      </w:r>
      <w:r w:rsidR="0027258B">
        <w:t xml:space="preserve"> </w:t>
      </w:r>
      <w:r w:rsidR="00573F53" w:rsidRPr="00573F53">
        <w:t xml:space="preserve">lapkričio </w:t>
      </w:r>
      <w:r>
        <w:t>mėn</w:t>
      </w:r>
      <w:r w:rsidR="00573F53" w:rsidRPr="00573F53">
        <w:t xml:space="preserve">. </w:t>
      </w:r>
      <w:r w:rsidR="00573F53">
        <w:t xml:space="preserve">Lietuvos </w:t>
      </w:r>
      <w:r w:rsidR="003C1B3A">
        <w:t>Respublikos ž</w:t>
      </w:r>
      <w:r w:rsidR="00573F53" w:rsidRPr="00573F53">
        <w:t xml:space="preserve">emės ūkio ministerijos </w:t>
      </w:r>
      <w:r w:rsidRPr="00413866">
        <w:t>Kontrolės</w:t>
      </w:r>
      <w:r>
        <w:t xml:space="preserve"> d</w:t>
      </w:r>
      <w:r w:rsidRPr="00413866">
        <w:t>epartamento</w:t>
      </w:r>
      <w:r>
        <w:t xml:space="preserve"> </w:t>
      </w:r>
      <w:r w:rsidRPr="00413866">
        <w:t>Klaipėdos patikrų vietoje skyriaus</w:t>
      </w:r>
      <w:r>
        <w:rPr>
          <w:rFonts w:ascii="Arial" w:hAnsi="Arial" w:cs="Arial"/>
          <w:color w:val="000000"/>
        </w:rPr>
        <w:t xml:space="preserve"> </w:t>
      </w:r>
      <w:r w:rsidR="00573F53" w:rsidRPr="00573F53">
        <w:t>specialista</w:t>
      </w:r>
      <w:r>
        <w:t>s</w:t>
      </w:r>
      <w:r w:rsidR="00573F53" w:rsidRPr="00573F53">
        <w:t xml:space="preserve"> tikrino projekto </w:t>
      </w:r>
      <w:r w:rsidR="00391271" w:rsidRPr="00CB726B">
        <w:t>„Istorinės ekspozicijos apie Juodkrantės žvejų gyvenimą atnaujinimas“</w:t>
      </w:r>
      <w:r w:rsidR="00391271">
        <w:t xml:space="preserve"> </w:t>
      </w:r>
      <w:r w:rsidR="00573F53" w:rsidRPr="00573F53">
        <w:t>įgyvendinimą projekto įgyvendinimo vietoje.</w:t>
      </w:r>
      <w:r w:rsidR="00025EC0">
        <w:t xml:space="preserve"> Pažeidimų nebuvo rasta.</w:t>
      </w:r>
    </w:p>
    <w:p w14:paraId="212A284A" w14:textId="77777777" w:rsidR="00ED3C16" w:rsidRDefault="00742C7B" w:rsidP="00811845">
      <w:pPr>
        <w:autoSpaceDE w:val="0"/>
        <w:autoSpaceDN w:val="0"/>
        <w:adjustRightInd w:val="0"/>
        <w:ind w:firstLine="1134"/>
        <w:jc w:val="both"/>
        <w:rPr>
          <w:u w:val="single"/>
        </w:rPr>
      </w:pPr>
      <w:r w:rsidRPr="00783D38">
        <w:rPr>
          <w:u w:val="single"/>
        </w:rPr>
        <w:t>1.7. N</w:t>
      </w:r>
      <w:r w:rsidR="00DE1D49" w:rsidRPr="00783D38">
        <w:rPr>
          <w:u w:val="single"/>
        </w:rPr>
        <w:t>umatomi planai ir prognozės</w:t>
      </w:r>
      <w:r w:rsidR="00391271">
        <w:rPr>
          <w:u w:val="single"/>
        </w:rPr>
        <w:t xml:space="preserve">. </w:t>
      </w:r>
    </w:p>
    <w:p w14:paraId="5E01D54D" w14:textId="18B56756" w:rsidR="008B0241" w:rsidRPr="00811845" w:rsidRDefault="00255F83" w:rsidP="00811845">
      <w:pPr>
        <w:autoSpaceDE w:val="0"/>
        <w:autoSpaceDN w:val="0"/>
        <w:adjustRightInd w:val="0"/>
        <w:ind w:firstLine="1134"/>
        <w:jc w:val="both"/>
      </w:pPr>
      <w:r w:rsidRPr="00391271">
        <w:t xml:space="preserve">Koordinuoti Kultūros paso paslaugų įgyvendinimą, </w:t>
      </w:r>
      <w:r w:rsidR="0031368D" w:rsidRPr="00391271">
        <w:t>tęsti edukacijų kūrimą ir įgyvendinimą</w:t>
      </w:r>
      <w:r w:rsidR="006D054A">
        <w:t>.</w:t>
      </w:r>
      <w:r w:rsidR="0031368D" w:rsidRPr="00391271">
        <w:t xml:space="preserve"> </w:t>
      </w:r>
      <w:r w:rsidR="008B0241" w:rsidRPr="00391271">
        <w:t>Dalyvauti Neringos savivaldybės projekt</w:t>
      </w:r>
      <w:r w:rsidR="00811845">
        <w:t>o</w:t>
      </w:r>
      <w:r w:rsidR="008B0241" w:rsidRPr="00391271">
        <w:t xml:space="preserve"> „Bendradarbiavimas per sieną nuo kranto iki kranto“ veiklose, dalyvauti partnerių dirbtuvėse, organizuoti susitikimus su projektų partneriais. </w:t>
      </w:r>
      <w:r w:rsidR="003C1B3A">
        <w:t>I</w:t>
      </w:r>
      <w:r w:rsidR="003C1B3A" w:rsidRPr="00391271">
        <w:t xml:space="preserve">šleisti </w:t>
      </w:r>
      <w:r w:rsidR="00436ABE" w:rsidRPr="00391271">
        <w:t>D</w:t>
      </w:r>
      <w:r w:rsidR="008B0241" w:rsidRPr="00391271">
        <w:t>.</w:t>
      </w:r>
      <w:r w:rsidR="00436ABE" w:rsidRPr="00391271">
        <w:t xml:space="preserve"> Junevičiaus ir N</w:t>
      </w:r>
      <w:r w:rsidR="008B0241" w:rsidRPr="00391271">
        <w:t>.</w:t>
      </w:r>
      <w:r w:rsidR="00436ABE" w:rsidRPr="00391271">
        <w:t xml:space="preserve"> </w:t>
      </w:r>
      <w:proofErr w:type="spellStart"/>
      <w:r w:rsidR="00436ABE" w:rsidRPr="00391271">
        <w:t>Strakauskaitės</w:t>
      </w:r>
      <w:proofErr w:type="spellEnd"/>
      <w:r w:rsidR="002D14A3" w:rsidRPr="00391271">
        <w:t xml:space="preserve"> </w:t>
      </w:r>
      <w:r w:rsidR="00E574D3" w:rsidRPr="00391271">
        <w:t>knygą</w:t>
      </w:r>
      <w:r w:rsidR="002D14A3" w:rsidRPr="00391271">
        <w:t xml:space="preserve"> </w:t>
      </w:r>
      <w:r w:rsidR="002D14A3" w:rsidRPr="00391271">
        <w:rPr>
          <w:bCs/>
        </w:rPr>
        <w:t xml:space="preserve">„Kuršių nerija </w:t>
      </w:r>
      <w:proofErr w:type="spellStart"/>
      <w:r w:rsidR="002D14A3" w:rsidRPr="00391271">
        <w:rPr>
          <w:bCs/>
        </w:rPr>
        <w:t>anno</w:t>
      </w:r>
      <w:proofErr w:type="spellEnd"/>
      <w:r w:rsidR="002D14A3" w:rsidRPr="00391271">
        <w:rPr>
          <w:bCs/>
        </w:rPr>
        <w:t xml:space="preserve"> 1900: Tilžės fotografo Roberto </w:t>
      </w:r>
      <w:proofErr w:type="spellStart"/>
      <w:r w:rsidR="002D14A3" w:rsidRPr="00391271">
        <w:rPr>
          <w:bCs/>
        </w:rPr>
        <w:t>Minzloffo</w:t>
      </w:r>
      <w:proofErr w:type="spellEnd"/>
      <w:r w:rsidR="002D14A3" w:rsidRPr="00391271">
        <w:rPr>
          <w:bCs/>
        </w:rPr>
        <w:t xml:space="preserve"> (1855–1930) stereoskopinių fotografijų rinkinys „Die </w:t>
      </w:r>
      <w:proofErr w:type="spellStart"/>
      <w:r w:rsidR="002D14A3" w:rsidRPr="00391271">
        <w:rPr>
          <w:bCs/>
        </w:rPr>
        <w:t>Kurische</w:t>
      </w:r>
      <w:proofErr w:type="spellEnd"/>
      <w:r w:rsidR="002D14A3" w:rsidRPr="00391271">
        <w:rPr>
          <w:bCs/>
        </w:rPr>
        <w:t xml:space="preserve"> </w:t>
      </w:r>
      <w:proofErr w:type="spellStart"/>
      <w:r w:rsidR="002D14A3" w:rsidRPr="00391271">
        <w:rPr>
          <w:bCs/>
        </w:rPr>
        <w:t>Nehrung</w:t>
      </w:r>
      <w:proofErr w:type="spellEnd"/>
      <w:r w:rsidR="002D14A3" w:rsidRPr="00391271">
        <w:rPr>
          <w:bCs/>
        </w:rPr>
        <w:t>“</w:t>
      </w:r>
      <w:r w:rsidR="008B0241" w:rsidRPr="00391271">
        <w:rPr>
          <w:bCs/>
        </w:rPr>
        <w:t xml:space="preserve"> </w:t>
      </w:r>
      <w:r w:rsidR="00E574D3" w:rsidRPr="00391271">
        <w:t>anglų kalb</w:t>
      </w:r>
      <w:r w:rsidR="00391271">
        <w:t>a</w:t>
      </w:r>
      <w:r w:rsidR="00811845">
        <w:t>, organizuoti knygos pristatymus.</w:t>
      </w:r>
      <w:r w:rsidR="00715120" w:rsidRPr="00391271">
        <w:t xml:space="preserve"> </w:t>
      </w:r>
      <w:r w:rsidR="008B0241" w:rsidRPr="00391271">
        <w:t>Numatoma toliau puoselėti Mažosios Lietuvos etninės kultūros tradicijas, stiprinti Liudviko Rėzos kultūros centro vaidmenį šioje srityje; kultūrinėje meninėje veikloje aktualizuoti Juodkrantės kurorto „aukso amžiaus“ pasiekimus; pritraukti papildomą finansavimą įstaigos veikloms vykdyti; pritraukti papildomas lėšas iš kultūrinę veiklą remiančių fondų, rinkti lėšas už teikiamas</w:t>
      </w:r>
      <w:r w:rsidR="008B0241" w:rsidRPr="0031368D">
        <w:t xml:space="preserve"> paslaugas; rengti projektus ir tęsti jų įgyvendinimą</w:t>
      </w:r>
      <w:r w:rsidR="008B0241" w:rsidRPr="00811845">
        <w:t xml:space="preserve">. </w:t>
      </w:r>
      <w:r w:rsidR="00827A7E" w:rsidRPr="00811845">
        <w:t xml:space="preserve"> </w:t>
      </w:r>
      <w:r w:rsidR="00811845" w:rsidRPr="00811845">
        <w:t>Stiprinti</w:t>
      </w:r>
      <w:r w:rsidR="00811845">
        <w:t xml:space="preserve"> Liudviko Rėzos kultūros centro komunikaciją, teikiamų paslaugų rinkodarą, n</w:t>
      </w:r>
      <w:r w:rsidR="00827A7E" w:rsidRPr="00811845">
        <w:t xml:space="preserve">uolat atnaujinti </w:t>
      </w:r>
      <w:r w:rsidR="00811845" w:rsidRPr="00811845">
        <w:t xml:space="preserve">puslapį </w:t>
      </w:r>
      <w:r w:rsidR="00827A7E" w:rsidRPr="00811845">
        <w:t>www</w:t>
      </w:r>
      <w:r w:rsidR="00811845" w:rsidRPr="00811845">
        <w:t>.lrezoskc.lt</w:t>
      </w:r>
      <w:r w:rsidR="00827A7E" w:rsidRPr="00811845">
        <w:t xml:space="preserve"> ir </w:t>
      </w:r>
      <w:r w:rsidR="00811845" w:rsidRPr="00811845">
        <w:t>socialinių tinklų paskyras.</w:t>
      </w:r>
      <w:r w:rsidR="00827A7E" w:rsidRPr="00811845">
        <w:rPr>
          <w:color w:val="FF0000"/>
        </w:rPr>
        <w:t xml:space="preserve"> </w:t>
      </w:r>
      <w:r w:rsidR="00811845" w:rsidRPr="00811845">
        <w:t xml:space="preserve">Įgyvendinti </w:t>
      </w:r>
      <w:r w:rsidR="00441501">
        <w:t>p</w:t>
      </w:r>
      <w:r w:rsidR="00811845" w:rsidRPr="00811845">
        <w:t>rojektą „Liudviko Rėzos kultūros centro 33 kW saulės elektrinės įsigijimas iš saulės parko“</w:t>
      </w:r>
      <w:r w:rsidR="003C1B3A">
        <w:t>.</w:t>
      </w:r>
    </w:p>
    <w:p w14:paraId="6E29096B" w14:textId="2F6646E0" w:rsidR="00B637C9" w:rsidRPr="003C1B3A" w:rsidRDefault="008B0241" w:rsidP="00D556F8">
      <w:pPr>
        <w:jc w:val="both"/>
      </w:pPr>
      <w:r w:rsidRPr="003C1B3A">
        <w:tab/>
      </w:r>
    </w:p>
    <w:p w14:paraId="375B3160" w14:textId="0B6770EA" w:rsidR="00DE1D49" w:rsidRPr="0031368D" w:rsidRDefault="001857DA" w:rsidP="008C4F17">
      <w:pPr>
        <w:tabs>
          <w:tab w:val="left" w:pos="993"/>
        </w:tabs>
        <w:ind w:firstLine="567"/>
        <w:jc w:val="both"/>
        <w:rPr>
          <w:u w:val="single"/>
        </w:rPr>
      </w:pPr>
      <w:r w:rsidRPr="0031368D">
        <w:rPr>
          <w:b/>
        </w:rPr>
        <w:t>2.</w:t>
      </w:r>
      <w:r w:rsidR="00742C7B" w:rsidRPr="0031368D">
        <w:rPr>
          <w:b/>
        </w:rPr>
        <w:t xml:space="preserve"> Centro</w:t>
      </w:r>
      <w:r w:rsidRPr="0031368D">
        <w:rPr>
          <w:b/>
        </w:rPr>
        <w:t xml:space="preserve"> veiklos pristatymas ir rodikliai.</w:t>
      </w:r>
    </w:p>
    <w:p w14:paraId="4082121B" w14:textId="77777777" w:rsidR="001857DA" w:rsidRPr="0031368D" w:rsidRDefault="00D77681" w:rsidP="009B16BF">
      <w:pPr>
        <w:pStyle w:val="Betarp"/>
        <w:ind w:firstLine="1276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3136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2.1. T</w:t>
      </w:r>
      <w:r w:rsidR="001857DA" w:rsidRPr="003136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rumpas Centro pristatymas: </w:t>
      </w:r>
    </w:p>
    <w:p w14:paraId="58FD74AB" w14:textId="3E90F624" w:rsidR="00F672C4" w:rsidRPr="0031368D" w:rsidRDefault="001857DA" w:rsidP="00BC777A">
      <w:pPr>
        <w:pStyle w:val="Pavadinimas"/>
        <w:ind w:firstLine="1296"/>
        <w:jc w:val="both"/>
        <w:rPr>
          <w:b w:val="0"/>
        </w:rPr>
      </w:pPr>
      <w:r w:rsidRPr="0031368D">
        <w:rPr>
          <w:b w:val="0"/>
        </w:rPr>
        <w:t>2.1.1.</w:t>
      </w:r>
      <w:r w:rsidR="009B16BF" w:rsidRPr="0031368D">
        <w:rPr>
          <w:b w:val="0"/>
        </w:rPr>
        <w:t xml:space="preserve"> </w:t>
      </w:r>
      <w:r w:rsidRPr="0031368D">
        <w:rPr>
          <w:b w:val="0"/>
        </w:rPr>
        <w:t>Darbuotojų skaičius – 14.</w:t>
      </w:r>
      <w:r w:rsidR="009B16BF" w:rsidRPr="0031368D">
        <w:rPr>
          <w:bCs w:val="0"/>
        </w:rPr>
        <w:t xml:space="preserve"> </w:t>
      </w:r>
      <w:r w:rsidR="009B16BF" w:rsidRPr="0031368D">
        <w:rPr>
          <w:b w:val="0"/>
        </w:rPr>
        <w:t>Liudviko Rėzos kultūros centre nustatytas 15</w:t>
      </w:r>
      <w:r w:rsidR="00677218" w:rsidRPr="0031368D">
        <w:rPr>
          <w:b w:val="0"/>
        </w:rPr>
        <w:t> </w:t>
      </w:r>
      <w:r w:rsidR="009B16BF" w:rsidRPr="0031368D">
        <w:rPr>
          <w:b w:val="0"/>
        </w:rPr>
        <w:t xml:space="preserve">didžiausias leistinas pareigybių skaičius, dirbančių pagal darbo sutartis ir gaunančių darbo užmokestį iš Neringos savivaldybės biudžeto (patvirtinta Neringos savivaldybės tarybos </w:t>
      </w:r>
      <w:r w:rsidR="00677218" w:rsidRPr="0031368D">
        <w:rPr>
          <w:b w:val="0"/>
        </w:rPr>
        <w:br/>
      </w:r>
      <w:r w:rsidR="009B16BF" w:rsidRPr="0031368D">
        <w:rPr>
          <w:b w:val="0"/>
        </w:rPr>
        <w:t>2011-12-15 sprendimu Nr.</w:t>
      </w:r>
      <w:r w:rsidR="00677218" w:rsidRPr="0031368D">
        <w:rPr>
          <w:b w:val="0"/>
        </w:rPr>
        <w:t xml:space="preserve"> </w:t>
      </w:r>
      <w:r w:rsidR="009B16BF" w:rsidRPr="0031368D">
        <w:rPr>
          <w:b w:val="0"/>
        </w:rPr>
        <w:t xml:space="preserve">T1-187 „Dėl didžiausio leistino pareigybių skaičiaus Neringos savivaldybės kultūros įstaigose nustatymo“).  </w:t>
      </w:r>
    </w:p>
    <w:p w14:paraId="0E719C51" w14:textId="77777777" w:rsidR="00E04278" w:rsidRPr="0031368D" w:rsidRDefault="00E04278" w:rsidP="00E04278">
      <w:pPr>
        <w:pStyle w:val="Paantrat"/>
        <w:rPr>
          <w:lang w:eastAsia="ar-SA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097"/>
        <w:gridCol w:w="2661"/>
        <w:gridCol w:w="2054"/>
        <w:gridCol w:w="1985"/>
        <w:gridCol w:w="1417"/>
      </w:tblGrid>
      <w:tr w:rsidR="009B16BF" w:rsidRPr="00255A67" w14:paraId="06A83048" w14:textId="77777777" w:rsidTr="00463EA1">
        <w:tc>
          <w:tcPr>
            <w:tcW w:w="1097" w:type="dxa"/>
          </w:tcPr>
          <w:p w14:paraId="37867AE3" w14:textId="77777777" w:rsidR="009B16BF" w:rsidRPr="00255A67" w:rsidRDefault="009B16BF" w:rsidP="00255A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14:paraId="3D25176E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Dirbantys pilną darbo laiko normą</w:t>
            </w:r>
          </w:p>
        </w:tc>
        <w:tc>
          <w:tcPr>
            <w:tcW w:w="2054" w:type="dxa"/>
            <w:vAlign w:val="center"/>
          </w:tcPr>
          <w:p w14:paraId="53009CF1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Darbuotojai</w:t>
            </w:r>
          </w:p>
          <w:p w14:paraId="5991BC6A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(iš viso)</w:t>
            </w:r>
          </w:p>
        </w:tc>
        <w:tc>
          <w:tcPr>
            <w:tcW w:w="1985" w:type="dxa"/>
            <w:vAlign w:val="center"/>
          </w:tcPr>
          <w:p w14:paraId="46F619CE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Kultūros ir meno darbuotojai</w:t>
            </w:r>
          </w:p>
        </w:tc>
        <w:tc>
          <w:tcPr>
            <w:tcW w:w="1417" w:type="dxa"/>
            <w:vAlign w:val="center"/>
          </w:tcPr>
          <w:p w14:paraId="6A48D1DE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Kiti</w:t>
            </w:r>
          </w:p>
        </w:tc>
      </w:tr>
      <w:tr w:rsidR="00790F7D" w:rsidRPr="00255A67" w14:paraId="3746C8BE" w14:textId="77777777" w:rsidTr="00463EA1">
        <w:tc>
          <w:tcPr>
            <w:tcW w:w="1097" w:type="dxa"/>
          </w:tcPr>
          <w:p w14:paraId="4A6EE792" w14:textId="043D18F5" w:rsidR="00790F7D" w:rsidRPr="00255A67" w:rsidRDefault="00790F7D" w:rsidP="00790F7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661" w:type="dxa"/>
          </w:tcPr>
          <w:p w14:paraId="1BB6AAD3" w14:textId="36F31BA9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9,25 (vasaros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metu 9,2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2054" w:type="dxa"/>
          </w:tcPr>
          <w:p w14:paraId="49C431E0" w14:textId="27790620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06BA3452" w14:textId="68ECCA65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3075EE61" w14:textId="5F1D7D8D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0F7D" w:rsidRPr="00255A67" w14:paraId="6663AD4E" w14:textId="77777777" w:rsidTr="00463EA1">
        <w:tc>
          <w:tcPr>
            <w:tcW w:w="1097" w:type="dxa"/>
          </w:tcPr>
          <w:p w14:paraId="31900222" w14:textId="57CAC67E" w:rsidR="00790F7D" w:rsidRPr="00255A67" w:rsidRDefault="00790F7D" w:rsidP="00790F7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661" w:type="dxa"/>
          </w:tcPr>
          <w:p w14:paraId="7CAE9569" w14:textId="0B90D284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9,25 (vasaros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metu 9,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4" w:type="dxa"/>
          </w:tcPr>
          <w:p w14:paraId="50A6CCC9" w14:textId="447C05A8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2A0B2DBD" w14:textId="64F1D638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09E662A9" w14:textId="2CB41A88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3866" w:rsidRPr="00255A67" w14:paraId="1DB6D152" w14:textId="77777777" w:rsidTr="00463EA1">
        <w:tc>
          <w:tcPr>
            <w:tcW w:w="1097" w:type="dxa"/>
          </w:tcPr>
          <w:p w14:paraId="52E4EDF6" w14:textId="0951C970" w:rsidR="00413866" w:rsidRDefault="00413866" w:rsidP="0041386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661" w:type="dxa"/>
          </w:tcPr>
          <w:p w14:paraId="3389C724" w14:textId="4DA6A47E" w:rsidR="00413866" w:rsidRPr="00255A67" w:rsidRDefault="00413866" w:rsidP="0041386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9,25 (vasaros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metu 9,2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2054" w:type="dxa"/>
          </w:tcPr>
          <w:p w14:paraId="47A98293" w14:textId="79D8AF58" w:rsidR="00413866" w:rsidRPr="00255A67" w:rsidRDefault="00413866" w:rsidP="0041386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4D031AB7" w14:textId="08CBBF34" w:rsidR="00413866" w:rsidRPr="00255A67" w:rsidRDefault="00413866" w:rsidP="0041386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0B24CC1B" w14:textId="0B72E7AA" w:rsidR="00413866" w:rsidRPr="00255A67" w:rsidRDefault="00413866" w:rsidP="0041386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8FC8738" w14:textId="77777777" w:rsidR="00B33837" w:rsidRDefault="00B33837" w:rsidP="00DE6E52">
      <w:pPr>
        <w:ind w:firstLine="1080"/>
        <w:jc w:val="both"/>
      </w:pPr>
    </w:p>
    <w:p w14:paraId="2ADC28D1" w14:textId="74829A28" w:rsidR="00F93ED4" w:rsidRDefault="00F93ED4" w:rsidP="00DE6E52">
      <w:pPr>
        <w:ind w:firstLine="1080"/>
        <w:jc w:val="both"/>
      </w:pPr>
      <w:r w:rsidRPr="002A496F">
        <w:t xml:space="preserve">Liudviko Rėzos kultūros centre </w:t>
      </w:r>
      <w:r>
        <w:t>yra</w:t>
      </w:r>
      <w:r w:rsidRPr="002A496F">
        <w:t xml:space="preserve"> </w:t>
      </w:r>
      <w:r>
        <w:t>3</w:t>
      </w:r>
      <w:r w:rsidRPr="002A496F">
        <w:t xml:space="preserve"> </w:t>
      </w:r>
      <w:r>
        <w:t xml:space="preserve">mėgėjų meno </w:t>
      </w:r>
      <w:r w:rsidRPr="002A496F">
        <w:t>kolektyvai:</w:t>
      </w:r>
      <w:r w:rsidR="00DE6E52">
        <w:t xml:space="preserve"> </w:t>
      </w:r>
      <w:r w:rsidRPr="00B054AE">
        <w:t xml:space="preserve">vokalinis moterų ansamblis </w:t>
      </w:r>
      <w:r w:rsidRPr="00B33837">
        <w:t xml:space="preserve">,,Neringa“ (vadovė Rita </w:t>
      </w:r>
      <w:proofErr w:type="spellStart"/>
      <w:r w:rsidRPr="00B33837">
        <w:t>Rušinskienė</w:t>
      </w:r>
      <w:proofErr w:type="spellEnd"/>
      <w:r w:rsidRPr="00B33837">
        <w:t>)</w:t>
      </w:r>
      <w:r w:rsidR="003C1B3A">
        <w:t>,</w:t>
      </w:r>
      <w:r w:rsidR="00DE6E52" w:rsidRPr="00B33837">
        <w:t xml:space="preserve"> </w:t>
      </w:r>
      <w:r w:rsidRPr="00B33837">
        <w:t>liaudiškos muzikos kapela „</w:t>
      </w:r>
      <w:proofErr w:type="spellStart"/>
      <w:r w:rsidRPr="00B33837">
        <w:t>Kuršininkai</w:t>
      </w:r>
      <w:proofErr w:type="spellEnd"/>
      <w:r w:rsidRPr="00B33837">
        <w:t xml:space="preserve">“ (vadovė Dana </w:t>
      </w:r>
      <w:proofErr w:type="spellStart"/>
      <w:r w:rsidRPr="00B33837">
        <w:t>Tregub</w:t>
      </w:r>
      <w:proofErr w:type="spellEnd"/>
      <w:r w:rsidRPr="00B33837">
        <w:t>)</w:t>
      </w:r>
      <w:r w:rsidR="003C1B3A">
        <w:t>,</w:t>
      </w:r>
      <w:r w:rsidR="00DE6E52" w:rsidRPr="00B33837">
        <w:t xml:space="preserve"> </w:t>
      </w:r>
      <w:r w:rsidRPr="00B33837">
        <w:t>folkloro ansamblis „Aušrinė“ (vadovė Ramunė Pečiukonytė)</w:t>
      </w:r>
      <w:r w:rsidR="00DE6E52" w:rsidRPr="00B33837">
        <w:t xml:space="preserve">. </w:t>
      </w:r>
      <w:r w:rsidRPr="00B33837">
        <w:t>Kolektyvus</w:t>
      </w:r>
      <w:r w:rsidRPr="00B054AE">
        <w:t xml:space="preserve"> lanko </w:t>
      </w:r>
      <w:r w:rsidR="0008040E">
        <w:t>42</w:t>
      </w:r>
      <w:r w:rsidR="00D77681">
        <w:t xml:space="preserve"> asmenys</w:t>
      </w:r>
      <w:r w:rsidRPr="00B054AE">
        <w:t>.</w:t>
      </w:r>
    </w:p>
    <w:p w14:paraId="0D100503" w14:textId="32DD96FF" w:rsidR="003A0453" w:rsidRPr="00015899" w:rsidRDefault="003A0453" w:rsidP="00BD1407">
      <w:pPr>
        <w:spacing w:before="120"/>
        <w:ind w:firstLine="1134"/>
        <w:jc w:val="both"/>
      </w:pPr>
      <w:r w:rsidRPr="00015899">
        <w:t>2.1.</w:t>
      </w:r>
      <w:r w:rsidR="00DA1AF8">
        <w:t>2</w:t>
      </w:r>
      <w:r w:rsidRPr="00015899">
        <w:t xml:space="preserve">. </w:t>
      </w:r>
      <w:r w:rsidR="003C3F1A" w:rsidRPr="00015899">
        <w:t>Vidutinis darbo užmokestis:</w:t>
      </w:r>
    </w:p>
    <w:tbl>
      <w:tblPr>
        <w:tblStyle w:val="Lentelstinklelis"/>
        <w:tblW w:w="9607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135"/>
        <w:gridCol w:w="1642"/>
        <w:gridCol w:w="1433"/>
        <w:gridCol w:w="1433"/>
      </w:tblGrid>
      <w:tr w:rsidR="00B12B67" w:rsidRPr="00490DFF" w14:paraId="176BF575" w14:textId="77777777" w:rsidTr="00B12B67">
        <w:tc>
          <w:tcPr>
            <w:tcW w:w="2689" w:type="dxa"/>
            <w:vAlign w:val="center"/>
          </w:tcPr>
          <w:p w14:paraId="38EF26C5" w14:textId="77777777" w:rsidR="00B12B67" w:rsidRPr="003C3F1A" w:rsidRDefault="00B12B67" w:rsidP="006D12EC">
            <w:pPr>
              <w:jc w:val="center"/>
              <w:rPr>
                <w:b/>
              </w:rPr>
            </w:pPr>
            <w:bookmarkStart w:id="2" w:name="_Hlk508195673"/>
            <w:r w:rsidRPr="003C3F1A">
              <w:rPr>
                <w:b/>
              </w:rPr>
              <w:t>Pareigybės pavadinimas</w:t>
            </w:r>
          </w:p>
        </w:tc>
        <w:tc>
          <w:tcPr>
            <w:tcW w:w="1275" w:type="dxa"/>
            <w:vAlign w:val="center"/>
          </w:tcPr>
          <w:p w14:paraId="49AF290F" w14:textId="77777777" w:rsidR="00B12B67" w:rsidRPr="003C3F1A" w:rsidRDefault="00B12B67" w:rsidP="006D12EC">
            <w:pPr>
              <w:jc w:val="center"/>
              <w:rPr>
                <w:b/>
              </w:rPr>
            </w:pPr>
            <w:r w:rsidRPr="00735A9F">
              <w:rPr>
                <w:b/>
              </w:rPr>
              <w:t>Dirbantys pilną darbo laiko normą</w:t>
            </w:r>
          </w:p>
        </w:tc>
        <w:tc>
          <w:tcPr>
            <w:tcW w:w="1135" w:type="dxa"/>
            <w:vAlign w:val="center"/>
          </w:tcPr>
          <w:p w14:paraId="5FC707F4" w14:textId="77777777" w:rsidR="00B12B67" w:rsidRPr="003C3F1A" w:rsidRDefault="00B12B67" w:rsidP="006D12EC">
            <w:pPr>
              <w:jc w:val="center"/>
              <w:rPr>
                <w:b/>
              </w:rPr>
            </w:pPr>
            <w:proofErr w:type="spellStart"/>
            <w:r w:rsidRPr="003C3F1A">
              <w:rPr>
                <w:b/>
              </w:rPr>
              <w:t>Dar</w:t>
            </w:r>
            <w:r>
              <w:rPr>
                <w:b/>
              </w:rPr>
              <w:t>buo</w:t>
            </w:r>
            <w:proofErr w:type="spellEnd"/>
            <w:r>
              <w:rPr>
                <w:b/>
              </w:rPr>
              <w:t>-</w:t>
            </w:r>
            <w:r w:rsidRPr="003C3F1A">
              <w:rPr>
                <w:b/>
              </w:rPr>
              <w:t>tojų skaičius</w:t>
            </w:r>
          </w:p>
        </w:tc>
        <w:tc>
          <w:tcPr>
            <w:tcW w:w="1642" w:type="dxa"/>
          </w:tcPr>
          <w:p w14:paraId="7188FDDE" w14:textId="77777777" w:rsidR="00B12B67" w:rsidRPr="005F0D90" w:rsidRDefault="00B12B67" w:rsidP="006D12EC">
            <w:pPr>
              <w:jc w:val="center"/>
              <w:rPr>
                <w:b/>
                <w:sz w:val="20"/>
                <w:szCs w:val="20"/>
              </w:rPr>
            </w:pPr>
            <w:r w:rsidRPr="005F0D90">
              <w:rPr>
                <w:b/>
                <w:sz w:val="20"/>
                <w:szCs w:val="20"/>
              </w:rPr>
              <w:t>Priskaičiuotas vidutinis 20</w:t>
            </w:r>
            <w:r>
              <w:rPr>
                <w:b/>
                <w:sz w:val="20"/>
                <w:szCs w:val="20"/>
              </w:rPr>
              <w:t>20</w:t>
            </w:r>
            <w:r w:rsidRPr="005F0D90">
              <w:rPr>
                <w:b/>
                <w:sz w:val="20"/>
                <w:szCs w:val="20"/>
              </w:rPr>
              <w:t xml:space="preserve"> m. darbo užmokestis (su priedais ir priemokomis EUR), neatskaičius mokesčių</w:t>
            </w:r>
          </w:p>
        </w:tc>
        <w:tc>
          <w:tcPr>
            <w:tcW w:w="1433" w:type="dxa"/>
          </w:tcPr>
          <w:p w14:paraId="2F8032DF" w14:textId="77777777" w:rsidR="00B12B67" w:rsidRPr="005F0D90" w:rsidRDefault="00B12B67" w:rsidP="006D12EC">
            <w:pPr>
              <w:jc w:val="center"/>
              <w:rPr>
                <w:b/>
                <w:sz w:val="20"/>
                <w:szCs w:val="20"/>
              </w:rPr>
            </w:pPr>
            <w:r w:rsidRPr="005F0D90">
              <w:rPr>
                <w:b/>
                <w:sz w:val="20"/>
                <w:szCs w:val="20"/>
              </w:rPr>
              <w:t>Priskaičiuotas vidutinis 20</w:t>
            </w:r>
            <w:r>
              <w:rPr>
                <w:b/>
                <w:sz w:val="20"/>
                <w:szCs w:val="20"/>
              </w:rPr>
              <w:t>21</w:t>
            </w:r>
            <w:r w:rsidRPr="005F0D90">
              <w:rPr>
                <w:b/>
                <w:sz w:val="20"/>
                <w:szCs w:val="20"/>
              </w:rPr>
              <w:t xml:space="preserve"> m. darbo užmokestis (su priedais ir priemokomis EUR), neatskaičius mokesčių</w:t>
            </w:r>
          </w:p>
        </w:tc>
        <w:tc>
          <w:tcPr>
            <w:tcW w:w="1433" w:type="dxa"/>
          </w:tcPr>
          <w:p w14:paraId="642C6D5A" w14:textId="77777777" w:rsidR="00B12B67" w:rsidRPr="00490DFF" w:rsidRDefault="00B12B67" w:rsidP="006D12EC">
            <w:pPr>
              <w:jc w:val="center"/>
              <w:rPr>
                <w:b/>
                <w:sz w:val="20"/>
                <w:szCs w:val="20"/>
              </w:rPr>
            </w:pPr>
            <w:r w:rsidRPr="00490DFF">
              <w:rPr>
                <w:b/>
                <w:sz w:val="20"/>
                <w:szCs w:val="20"/>
              </w:rPr>
              <w:t>Priskaičiuotas vidutinis 2022 m. darbo užmokestis (su priedais ir priemokomis EUR), neatskaičius mokesčių</w:t>
            </w:r>
          </w:p>
        </w:tc>
      </w:tr>
      <w:tr w:rsidR="00B12B67" w:rsidRPr="008401EE" w14:paraId="50994B5A" w14:textId="77777777" w:rsidTr="00B12B67">
        <w:tc>
          <w:tcPr>
            <w:tcW w:w="2689" w:type="dxa"/>
          </w:tcPr>
          <w:p w14:paraId="23B4423A" w14:textId="77777777" w:rsidR="00B12B67" w:rsidRPr="00E15C99" w:rsidRDefault="00B12B67" w:rsidP="006D12EC">
            <w:r w:rsidRPr="003C3F1A">
              <w:rPr>
                <w:bCs/>
                <w:i/>
              </w:rPr>
              <w:t>Administracija:</w:t>
            </w:r>
            <w:r>
              <w:rPr>
                <w:bCs/>
              </w:rPr>
              <w:t xml:space="preserve"> d</w:t>
            </w:r>
            <w:r w:rsidRPr="008401EE">
              <w:t xml:space="preserve">irektorius, direktoriaus pavaduotojas, </w:t>
            </w:r>
            <w:r>
              <w:t xml:space="preserve">vyr. buhalteris </w:t>
            </w:r>
          </w:p>
        </w:tc>
        <w:tc>
          <w:tcPr>
            <w:tcW w:w="1275" w:type="dxa"/>
            <w:vAlign w:val="center"/>
          </w:tcPr>
          <w:p w14:paraId="555D71CD" w14:textId="77777777" w:rsidR="00B12B67" w:rsidRPr="008401EE" w:rsidRDefault="00B12B67" w:rsidP="006D12EC">
            <w:pPr>
              <w:jc w:val="center"/>
            </w:pPr>
            <w:r>
              <w:t>2,75</w:t>
            </w:r>
          </w:p>
        </w:tc>
        <w:tc>
          <w:tcPr>
            <w:tcW w:w="1135" w:type="dxa"/>
            <w:vAlign w:val="center"/>
          </w:tcPr>
          <w:p w14:paraId="7CE3B14B" w14:textId="77777777" w:rsidR="00B12B67" w:rsidRDefault="00B12B67" w:rsidP="006D12EC">
            <w:pPr>
              <w:jc w:val="center"/>
            </w:pPr>
            <w:r>
              <w:t>3</w:t>
            </w:r>
          </w:p>
        </w:tc>
        <w:tc>
          <w:tcPr>
            <w:tcW w:w="1642" w:type="dxa"/>
            <w:vAlign w:val="center"/>
          </w:tcPr>
          <w:p w14:paraId="461572B2" w14:textId="77777777" w:rsidR="00B12B67" w:rsidRDefault="00B12B67" w:rsidP="006D12EC">
            <w:pPr>
              <w:jc w:val="center"/>
            </w:pPr>
            <w:r>
              <w:t>1929</w:t>
            </w:r>
          </w:p>
        </w:tc>
        <w:tc>
          <w:tcPr>
            <w:tcW w:w="1433" w:type="dxa"/>
            <w:vAlign w:val="center"/>
          </w:tcPr>
          <w:p w14:paraId="3FDDF898" w14:textId="77777777" w:rsidR="00B12B67" w:rsidRDefault="00B12B67" w:rsidP="006D12EC">
            <w:pPr>
              <w:jc w:val="center"/>
            </w:pPr>
            <w:r>
              <w:t>2016</w:t>
            </w:r>
          </w:p>
        </w:tc>
        <w:tc>
          <w:tcPr>
            <w:tcW w:w="1433" w:type="dxa"/>
            <w:vAlign w:val="center"/>
          </w:tcPr>
          <w:p w14:paraId="4196C891" w14:textId="62A7B054" w:rsidR="00B12B67" w:rsidRDefault="00B12B67" w:rsidP="00B12B67">
            <w:pPr>
              <w:jc w:val="center"/>
            </w:pPr>
            <w:r>
              <w:t>2148</w:t>
            </w:r>
          </w:p>
        </w:tc>
      </w:tr>
      <w:tr w:rsidR="00B12B67" w:rsidRPr="008401EE" w14:paraId="344E9F02" w14:textId="77777777" w:rsidTr="00B12B67">
        <w:tc>
          <w:tcPr>
            <w:tcW w:w="2689" w:type="dxa"/>
          </w:tcPr>
          <w:p w14:paraId="23EC8C05" w14:textId="77777777" w:rsidR="00B12B67" w:rsidRPr="00E15C99" w:rsidRDefault="00B12B67" w:rsidP="006D12EC">
            <w:r w:rsidRPr="003C3F1A">
              <w:rPr>
                <w:bCs/>
                <w:i/>
              </w:rPr>
              <w:t>Kultūros ir meno darbuotojai:</w:t>
            </w:r>
            <w:r>
              <w:rPr>
                <w:bCs/>
              </w:rPr>
              <w:t xml:space="preserve"> k</w:t>
            </w:r>
            <w:r>
              <w:t>ultūrinės veiklos</w:t>
            </w:r>
            <w:r w:rsidRPr="008401EE">
              <w:t xml:space="preserve"> vadybinink</w:t>
            </w:r>
            <w:r>
              <w:t>as</w:t>
            </w:r>
            <w:r w:rsidRPr="008401EE">
              <w:t>,</w:t>
            </w:r>
            <w:r>
              <w:t xml:space="preserve"> renginių organizatorius, garso, šviesos, scenos specialistas, meno vadovas </w:t>
            </w:r>
          </w:p>
        </w:tc>
        <w:tc>
          <w:tcPr>
            <w:tcW w:w="1275" w:type="dxa"/>
            <w:vAlign w:val="center"/>
          </w:tcPr>
          <w:p w14:paraId="44C46ADE" w14:textId="77777777" w:rsidR="00B12B67" w:rsidRPr="008401EE" w:rsidRDefault="00B12B67" w:rsidP="006D12EC">
            <w:pPr>
              <w:jc w:val="center"/>
            </w:pPr>
            <w:r>
              <w:t>3,5</w:t>
            </w:r>
          </w:p>
        </w:tc>
        <w:tc>
          <w:tcPr>
            <w:tcW w:w="1135" w:type="dxa"/>
            <w:vAlign w:val="center"/>
          </w:tcPr>
          <w:p w14:paraId="3E449254" w14:textId="77777777" w:rsidR="00B12B67" w:rsidRPr="008401EE" w:rsidRDefault="00B12B67" w:rsidP="006D12EC">
            <w:pPr>
              <w:jc w:val="center"/>
            </w:pPr>
            <w:r>
              <w:t>6</w:t>
            </w:r>
          </w:p>
        </w:tc>
        <w:tc>
          <w:tcPr>
            <w:tcW w:w="1642" w:type="dxa"/>
            <w:vAlign w:val="center"/>
          </w:tcPr>
          <w:p w14:paraId="67AE6586" w14:textId="77777777" w:rsidR="00B12B67" w:rsidRDefault="00B12B67" w:rsidP="006D12EC">
            <w:pPr>
              <w:jc w:val="center"/>
            </w:pPr>
            <w:r>
              <w:t>767</w:t>
            </w:r>
          </w:p>
        </w:tc>
        <w:tc>
          <w:tcPr>
            <w:tcW w:w="1433" w:type="dxa"/>
            <w:vAlign w:val="center"/>
          </w:tcPr>
          <w:p w14:paraId="2879AAAF" w14:textId="77777777" w:rsidR="00B12B67" w:rsidRDefault="00B12B67" w:rsidP="006D12EC">
            <w:pPr>
              <w:jc w:val="center"/>
            </w:pPr>
            <w:r>
              <w:t>821</w:t>
            </w:r>
          </w:p>
        </w:tc>
        <w:tc>
          <w:tcPr>
            <w:tcW w:w="1433" w:type="dxa"/>
            <w:vAlign w:val="center"/>
          </w:tcPr>
          <w:p w14:paraId="5E95CFB8" w14:textId="4F2C36BA" w:rsidR="00B12B67" w:rsidRDefault="00B12B67" w:rsidP="00B12B67">
            <w:pPr>
              <w:jc w:val="center"/>
            </w:pPr>
            <w:r>
              <w:t>896</w:t>
            </w:r>
          </w:p>
        </w:tc>
      </w:tr>
      <w:tr w:rsidR="00B12B67" w:rsidRPr="008401EE" w14:paraId="7F2CE72D" w14:textId="77777777" w:rsidTr="00B12B67">
        <w:tc>
          <w:tcPr>
            <w:tcW w:w="2689" w:type="dxa"/>
          </w:tcPr>
          <w:p w14:paraId="4736EF69" w14:textId="77777777" w:rsidR="00B12B67" w:rsidRPr="00E15C99" w:rsidRDefault="00B12B67" w:rsidP="006D12EC">
            <w:r w:rsidRPr="003C3F1A">
              <w:rPr>
                <w:bCs/>
                <w:i/>
              </w:rPr>
              <w:t>Kiti darbuotojai:</w:t>
            </w:r>
            <w:r>
              <w:rPr>
                <w:bCs/>
              </w:rPr>
              <w:t xml:space="preserve"> </w:t>
            </w:r>
            <w:r>
              <w:t>kompiuterių priežiūros specialistas, kasininkas-prižiūrėtojas</w:t>
            </w:r>
          </w:p>
        </w:tc>
        <w:tc>
          <w:tcPr>
            <w:tcW w:w="1275" w:type="dxa"/>
            <w:vAlign w:val="center"/>
          </w:tcPr>
          <w:p w14:paraId="218B6743" w14:textId="77777777" w:rsidR="00B12B67" w:rsidRDefault="00B12B67" w:rsidP="006D12EC">
            <w:pPr>
              <w:jc w:val="center"/>
            </w:pPr>
            <w:r>
              <w:t>1,25</w:t>
            </w:r>
          </w:p>
        </w:tc>
        <w:tc>
          <w:tcPr>
            <w:tcW w:w="1135" w:type="dxa"/>
            <w:vAlign w:val="center"/>
          </w:tcPr>
          <w:p w14:paraId="7C054031" w14:textId="77777777" w:rsidR="00B12B67" w:rsidRDefault="00B12B67" w:rsidP="006D12EC">
            <w:pPr>
              <w:jc w:val="center"/>
            </w:pPr>
            <w:r>
              <w:t>3</w:t>
            </w:r>
          </w:p>
        </w:tc>
        <w:tc>
          <w:tcPr>
            <w:tcW w:w="1642" w:type="dxa"/>
            <w:vAlign w:val="center"/>
          </w:tcPr>
          <w:p w14:paraId="707C833F" w14:textId="77777777" w:rsidR="00B12B67" w:rsidRDefault="00B12B67" w:rsidP="006D12EC">
            <w:pPr>
              <w:jc w:val="center"/>
            </w:pPr>
            <w:r>
              <w:t>327</w:t>
            </w:r>
          </w:p>
        </w:tc>
        <w:tc>
          <w:tcPr>
            <w:tcW w:w="1433" w:type="dxa"/>
            <w:vAlign w:val="center"/>
          </w:tcPr>
          <w:p w14:paraId="73C3F401" w14:textId="77777777" w:rsidR="00B12B67" w:rsidRDefault="00B12B67" w:rsidP="006D12EC">
            <w:pPr>
              <w:jc w:val="center"/>
            </w:pPr>
            <w:r>
              <w:t>337</w:t>
            </w:r>
          </w:p>
        </w:tc>
        <w:tc>
          <w:tcPr>
            <w:tcW w:w="1433" w:type="dxa"/>
            <w:vAlign w:val="center"/>
          </w:tcPr>
          <w:p w14:paraId="3F74CEC3" w14:textId="77777777" w:rsidR="00B12B67" w:rsidRDefault="00B12B67" w:rsidP="00B12B67">
            <w:pPr>
              <w:jc w:val="center"/>
            </w:pPr>
            <w:r>
              <w:t>412</w:t>
            </w:r>
          </w:p>
        </w:tc>
      </w:tr>
      <w:tr w:rsidR="00B12B67" w:rsidRPr="008401EE" w14:paraId="13A0D067" w14:textId="77777777" w:rsidTr="00B12B67">
        <w:tc>
          <w:tcPr>
            <w:tcW w:w="2689" w:type="dxa"/>
          </w:tcPr>
          <w:p w14:paraId="78ADAF77" w14:textId="77777777" w:rsidR="00B12B67" w:rsidRPr="00E15C99" w:rsidRDefault="00B12B67" w:rsidP="006D12EC">
            <w:r>
              <w:rPr>
                <w:bCs/>
                <w:i/>
              </w:rPr>
              <w:t>A</w:t>
            </w:r>
            <w:r w:rsidRPr="0098097B">
              <w:rPr>
                <w:bCs/>
                <w:i/>
              </w:rPr>
              <w:t>ptarnaujantis personalas</w:t>
            </w:r>
            <w:r>
              <w:rPr>
                <w:bCs/>
                <w:i/>
              </w:rPr>
              <w:t xml:space="preserve"> –</w:t>
            </w:r>
            <w:r>
              <w:t>v</w:t>
            </w:r>
            <w:r w:rsidRPr="008401EE">
              <w:t>alytoj</w:t>
            </w:r>
            <w:r>
              <w:t>as</w:t>
            </w:r>
          </w:p>
        </w:tc>
        <w:tc>
          <w:tcPr>
            <w:tcW w:w="1275" w:type="dxa"/>
            <w:vAlign w:val="center"/>
          </w:tcPr>
          <w:p w14:paraId="3A316DD4" w14:textId="77777777" w:rsidR="00B12B67" w:rsidRPr="008401EE" w:rsidRDefault="00B12B67" w:rsidP="006D12EC">
            <w:pPr>
              <w:jc w:val="center"/>
            </w:pPr>
            <w:r>
              <w:t>1,75</w:t>
            </w:r>
          </w:p>
        </w:tc>
        <w:tc>
          <w:tcPr>
            <w:tcW w:w="1135" w:type="dxa"/>
            <w:vAlign w:val="center"/>
          </w:tcPr>
          <w:p w14:paraId="154F32C3" w14:textId="77777777" w:rsidR="00B12B67" w:rsidRPr="008401EE" w:rsidRDefault="00B12B67" w:rsidP="006D12EC">
            <w:pPr>
              <w:jc w:val="center"/>
            </w:pPr>
            <w:r>
              <w:t>2</w:t>
            </w:r>
          </w:p>
        </w:tc>
        <w:tc>
          <w:tcPr>
            <w:tcW w:w="1642" w:type="dxa"/>
            <w:vAlign w:val="center"/>
          </w:tcPr>
          <w:p w14:paraId="1A5B2707" w14:textId="77777777" w:rsidR="00B12B67" w:rsidRDefault="00B12B67" w:rsidP="006D12EC">
            <w:pPr>
              <w:jc w:val="center"/>
            </w:pPr>
            <w:r>
              <w:t>520</w:t>
            </w:r>
          </w:p>
        </w:tc>
        <w:tc>
          <w:tcPr>
            <w:tcW w:w="1433" w:type="dxa"/>
            <w:vAlign w:val="center"/>
          </w:tcPr>
          <w:p w14:paraId="35F4F642" w14:textId="77777777" w:rsidR="00B12B67" w:rsidRDefault="00B12B67" w:rsidP="006D12EC">
            <w:pPr>
              <w:jc w:val="center"/>
            </w:pPr>
            <w:r>
              <w:t>587</w:t>
            </w:r>
          </w:p>
        </w:tc>
        <w:tc>
          <w:tcPr>
            <w:tcW w:w="1433" w:type="dxa"/>
            <w:vAlign w:val="center"/>
          </w:tcPr>
          <w:p w14:paraId="11981D18" w14:textId="77777777" w:rsidR="00B12B67" w:rsidRDefault="00B12B67" w:rsidP="00B12B67">
            <w:pPr>
              <w:jc w:val="center"/>
            </w:pPr>
            <w:r>
              <w:t>654</w:t>
            </w:r>
          </w:p>
        </w:tc>
      </w:tr>
      <w:bookmarkEnd w:id="2"/>
    </w:tbl>
    <w:p w14:paraId="5C47DAF3" w14:textId="77777777" w:rsidR="00140C86" w:rsidRDefault="00140C86" w:rsidP="001857DA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A780AE" w14:textId="0CFD34A7" w:rsidR="00F93ED4" w:rsidRPr="00995F2C" w:rsidRDefault="00015899" w:rsidP="00BD1407">
      <w:pPr>
        <w:spacing w:before="120"/>
        <w:ind w:firstLine="1134"/>
        <w:jc w:val="both"/>
      </w:pPr>
      <w:r>
        <w:t>2.1.</w:t>
      </w:r>
      <w:r w:rsidR="00DA1AF8">
        <w:t>3</w:t>
      </w:r>
      <w:r>
        <w:t xml:space="preserve">. </w:t>
      </w:r>
      <w:r w:rsidRPr="00995F2C">
        <w:t>Valdomas turtas (materialinė bazė ir jos būklė):</w:t>
      </w:r>
      <w:r w:rsidR="00DE6E52" w:rsidRPr="00995F2C">
        <w:t xml:space="preserve"> </w:t>
      </w:r>
      <w:r w:rsidR="004E4EEC" w:rsidRPr="00995F2C">
        <w:t>pastatas</w:t>
      </w:r>
      <w:r w:rsidR="00A56272" w:rsidRPr="00995F2C">
        <w:t xml:space="preserve"> L. Rėzos g. 8B, Nering</w:t>
      </w:r>
      <w:r w:rsidR="00677218" w:rsidRPr="00995F2C">
        <w:t>oje</w:t>
      </w:r>
      <w:r w:rsidR="00A56272" w:rsidRPr="00995F2C">
        <w:t xml:space="preserve"> (284,04 kv. m)</w:t>
      </w:r>
      <w:r w:rsidRPr="00995F2C">
        <w:t>;</w:t>
      </w:r>
      <w:r w:rsidR="00DE6E52" w:rsidRPr="00995F2C">
        <w:t xml:space="preserve"> </w:t>
      </w:r>
      <w:r w:rsidRPr="00995F2C">
        <w:t xml:space="preserve">koncertų salė </w:t>
      </w:r>
      <w:r w:rsidR="00882D9B" w:rsidRPr="00995F2C">
        <w:t>L. Rėzos g. 54, Nering</w:t>
      </w:r>
      <w:r w:rsidR="00677218" w:rsidRPr="00995F2C">
        <w:t>oje</w:t>
      </w:r>
      <w:r w:rsidR="00882D9B" w:rsidRPr="00995F2C">
        <w:t xml:space="preserve"> </w:t>
      </w:r>
      <w:r w:rsidRPr="00995F2C">
        <w:t>(</w:t>
      </w:r>
      <w:r w:rsidR="00A56272" w:rsidRPr="00995F2C">
        <w:t>283,43 kv. m</w:t>
      </w:r>
      <w:r w:rsidRPr="00995F2C">
        <w:t xml:space="preserve">); lauko estrada </w:t>
      </w:r>
      <w:r w:rsidR="00882D9B" w:rsidRPr="00995F2C">
        <w:t>L.</w:t>
      </w:r>
      <w:r w:rsidR="003C1B3A">
        <w:t> </w:t>
      </w:r>
      <w:r w:rsidR="00882D9B" w:rsidRPr="00995F2C">
        <w:t>Rėzos g. 54, Nering</w:t>
      </w:r>
      <w:r w:rsidR="00677218" w:rsidRPr="00995F2C">
        <w:t>oje</w:t>
      </w:r>
      <w:r w:rsidR="00882D9B" w:rsidRPr="00995F2C">
        <w:t xml:space="preserve"> </w:t>
      </w:r>
      <w:r w:rsidRPr="00995F2C">
        <w:t>(</w:t>
      </w:r>
      <w:r w:rsidR="00A56272" w:rsidRPr="00995F2C">
        <w:t>692,00 kv. m</w:t>
      </w:r>
      <w:r w:rsidRPr="00995F2C">
        <w:t>)</w:t>
      </w:r>
      <w:r w:rsidR="00882D9B" w:rsidRPr="00995F2C">
        <w:t>.</w:t>
      </w:r>
    </w:p>
    <w:p w14:paraId="05170C2C" w14:textId="1E2680B5" w:rsidR="00DA1AF8" w:rsidRPr="00DA1AF8" w:rsidRDefault="00DA1AF8" w:rsidP="00DA1AF8">
      <w:pPr>
        <w:ind w:firstLine="1134"/>
        <w:jc w:val="both"/>
        <w:rPr>
          <w:sz w:val="22"/>
          <w:szCs w:val="22"/>
        </w:rPr>
      </w:pPr>
      <w:r w:rsidRPr="00DA1AF8">
        <w:t>Ilgalaikis turtas pagal grupes (likutine verte, išskyrus kultūros paveldo statinius): programinės įrangos ir jos licencijų vertė laikotarpio pabaigoje 0 Eur, negyvenamų pastatų (koncertų salė)</w:t>
      </w:r>
      <w:r>
        <w:t xml:space="preserve"> vertė</w:t>
      </w:r>
      <w:r w:rsidRPr="00DA1AF8">
        <w:t xml:space="preserve"> </w:t>
      </w:r>
      <w:r>
        <w:t xml:space="preserve">– </w:t>
      </w:r>
      <w:r w:rsidRPr="00DA1AF8">
        <w:t>63 132 Eur, kitų infrastruktūros statinių (estrados denginys) vertė – 33</w:t>
      </w:r>
      <w:r w:rsidR="003C1B3A">
        <w:t> </w:t>
      </w:r>
      <w:r w:rsidRPr="00DA1AF8">
        <w:t>899</w:t>
      </w:r>
      <w:r w:rsidR="003C1B3A">
        <w:t> </w:t>
      </w:r>
      <w:r w:rsidRPr="00DA1AF8">
        <w:t xml:space="preserve">Eur,  kultūros paveldo statiniai (įsigijimo savikaina) </w:t>
      </w:r>
      <w:r>
        <w:t xml:space="preserve">– </w:t>
      </w:r>
      <w:r w:rsidRPr="00DA1AF8">
        <w:t>381 632 Eur, kitų mašinų ir įrengimų vertė – 338 Eur, kito ilgalaikio materialiojo turto – 4 346 Eur. 2022 m. gruodžio 31 d. visiškai nudėvėto, tačiau vis dar naudojamo Centro veikloje materialaus ilgalaikio turto įsigijimo savikaina sudaro 87 329 Eur, iš jų: kitas ilgalaikis nematerialusis turtas – 399 Eur; kitos mašinos ir įrenginiai – 13 441 Eur; baldai – 15 129 Eur ir kitas ilgalaikis materialusis turtas – 57 961 Eur.</w:t>
      </w:r>
    </w:p>
    <w:p w14:paraId="0DEE2DF7" w14:textId="77777777" w:rsidR="00BD1407" w:rsidRDefault="00BD1407" w:rsidP="00BD1407">
      <w:pPr>
        <w:ind w:firstLine="1134"/>
        <w:jc w:val="both"/>
        <w:rPr>
          <w:u w:val="single"/>
        </w:rPr>
      </w:pPr>
    </w:p>
    <w:p w14:paraId="0566045F" w14:textId="77777777" w:rsidR="00573E10" w:rsidRDefault="00882D9B" w:rsidP="00BD1407">
      <w:pPr>
        <w:ind w:firstLine="1134"/>
        <w:jc w:val="both"/>
        <w:rPr>
          <w:u w:val="single"/>
        </w:rPr>
      </w:pPr>
      <w:r w:rsidRPr="00D0714E">
        <w:rPr>
          <w:u w:val="single"/>
        </w:rPr>
        <w:t>2.2. Pagrindiniai pasiekimai – uždavinių įgyvendinimas pagal nustatytus metinių uždavinių siektinus rodiklius:</w:t>
      </w:r>
    </w:p>
    <w:p w14:paraId="10DB70F1" w14:textId="7ACC38B9" w:rsidR="000E49C2" w:rsidRPr="003C66D7" w:rsidRDefault="002B2722" w:rsidP="00186B8F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>
        <w:tab/>
      </w:r>
      <w:r w:rsidR="00817D98" w:rsidRPr="003C66D7">
        <w:rPr>
          <w:rFonts w:ascii="Times New Roman" w:hAnsi="Times New Roman" w:cs="Times New Roman"/>
          <w:sz w:val="24"/>
          <w:szCs w:val="24"/>
        </w:rPr>
        <w:t>2.</w:t>
      </w:r>
      <w:r w:rsidR="00AA6A33" w:rsidRPr="003C66D7">
        <w:rPr>
          <w:rFonts w:ascii="Times New Roman" w:hAnsi="Times New Roman" w:cs="Times New Roman"/>
          <w:sz w:val="24"/>
          <w:szCs w:val="24"/>
        </w:rPr>
        <w:t>2</w:t>
      </w:r>
      <w:r w:rsidR="00817D98" w:rsidRPr="003C66D7">
        <w:rPr>
          <w:rFonts w:ascii="Times New Roman" w:hAnsi="Times New Roman" w:cs="Times New Roman"/>
          <w:sz w:val="24"/>
          <w:szCs w:val="24"/>
        </w:rPr>
        <w:t>.</w:t>
      </w:r>
      <w:r w:rsidR="00AA6A33" w:rsidRPr="003C66D7">
        <w:rPr>
          <w:rFonts w:ascii="Times New Roman" w:hAnsi="Times New Roman" w:cs="Times New Roman"/>
          <w:sz w:val="24"/>
          <w:szCs w:val="24"/>
        </w:rPr>
        <w:t>1</w:t>
      </w:r>
      <w:r w:rsidR="00817D98" w:rsidRPr="003C66D7">
        <w:rPr>
          <w:rFonts w:ascii="Times New Roman" w:hAnsi="Times New Roman" w:cs="Times New Roman"/>
          <w:sz w:val="24"/>
          <w:szCs w:val="24"/>
        </w:rPr>
        <w:t>.</w:t>
      </w:r>
      <w:r w:rsidR="00D77681" w:rsidRPr="003C66D7">
        <w:rPr>
          <w:rFonts w:ascii="Times New Roman" w:hAnsi="Times New Roman" w:cs="Times New Roman"/>
          <w:sz w:val="24"/>
          <w:szCs w:val="24"/>
        </w:rPr>
        <w:t xml:space="preserve"> </w:t>
      </w:r>
      <w:r w:rsidR="005850CD" w:rsidRPr="003C66D7">
        <w:rPr>
          <w:rFonts w:ascii="Times New Roman" w:hAnsi="Times New Roman" w:cs="Times New Roman"/>
          <w:sz w:val="24"/>
          <w:szCs w:val="24"/>
        </w:rPr>
        <w:t>Centro svarbiausi renginiai 202</w:t>
      </w:r>
      <w:r w:rsidR="00413866">
        <w:rPr>
          <w:rFonts w:ascii="Times New Roman" w:hAnsi="Times New Roman" w:cs="Times New Roman"/>
          <w:sz w:val="24"/>
          <w:szCs w:val="24"/>
        </w:rPr>
        <w:t>2</w:t>
      </w:r>
      <w:r w:rsidR="005850CD" w:rsidRPr="003C66D7">
        <w:rPr>
          <w:rFonts w:ascii="Times New Roman" w:hAnsi="Times New Roman" w:cs="Times New Roman"/>
          <w:sz w:val="24"/>
          <w:szCs w:val="24"/>
        </w:rPr>
        <w:t xml:space="preserve"> metais. </w:t>
      </w:r>
    </w:p>
    <w:p w14:paraId="77CB8473" w14:textId="063617AD" w:rsidR="00D91815" w:rsidRPr="003E1693" w:rsidRDefault="00D91815" w:rsidP="00186B8F">
      <w:pPr>
        <w:pStyle w:val="Betarp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E1693">
        <w:rPr>
          <w:rFonts w:ascii="Times New Roman" w:hAnsi="Times New Roman" w:cs="Times New Roman"/>
          <w:sz w:val="24"/>
          <w:szCs w:val="24"/>
        </w:rPr>
        <w:t>Svarbiausi renginiai:</w:t>
      </w:r>
      <w:r>
        <w:rPr>
          <w:rFonts w:ascii="Times New Roman" w:hAnsi="Times New Roman" w:cs="Times New Roman"/>
          <w:sz w:val="24"/>
          <w:szCs w:val="24"/>
        </w:rPr>
        <w:t xml:space="preserve"> kartu su </w:t>
      </w:r>
      <w:r w:rsidRPr="00D91815">
        <w:rPr>
          <w:rFonts w:ascii="Times New Roman" w:hAnsi="Times New Roman" w:cs="Times New Roman"/>
          <w:sz w:val="24"/>
          <w:szCs w:val="24"/>
        </w:rPr>
        <w:t xml:space="preserve">VšĮ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D91815">
        <w:rPr>
          <w:rFonts w:ascii="Times New Roman" w:hAnsi="Times New Roman" w:cs="Times New Roman"/>
          <w:sz w:val="24"/>
          <w:szCs w:val="24"/>
        </w:rPr>
        <w:t xml:space="preserve">okio teatru „Judesio erdvė“ sukurta ir įgyvendinta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91815">
        <w:rPr>
          <w:rFonts w:ascii="Times New Roman" w:hAnsi="Times New Roman" w:cs="Times New Roman"/>
          <w:sz w:val="24"/>
          <w:szCs w:val="24"/>
        </w:rPr>
        <w:t>eatralizuota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815">
        <w:rPr>
          <w:rFonts w:ascii="Times New Roman" w:hAnsi="Times New Roman" w:cs="Times New Roman"/>
          <w:sz w:val="24"/>
          <w:szCs w:val="24"/>
        </w:rPr>
        <w:t>ekskursija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815">
        <w:rPr>
          <w:rFonts w:ascii="Times New Roman" w:hAnsi="Times New Roman" w:cs="Times New Roman"/>
          <w:sz w:val="24"/>
          <w:szCs w:val="24"/>
        </w:rPr>
        <w:t>„Juodojo kranto aukso amžius“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1815">
        <w:rPr>
          <w:rFonts w:ascii="Times New Roman" w:hAnsi="Times New Roman" w:cs="Times New Roman"/>
          <w:sz w:val="24"/>
          <w:szCs w:val="24"/>
        </w:rPr>
        <w:t xml:space="preserve"> </w:t>
      </w:r>
      <w:r w:rsidRPr="00D9358D">
        <w:rPr>
          <w:rFonts w:ascii="Times New Roman" w:hAnsi="Times New Roman" w:cs="Times New Roman"/>
          <w:sz w:val="24"/>
          <w:szCs w:val="24"/>
        </w:rPr>
        <w:t>Martyno Liudviko Rėzos vardo kultūros ir meno premijos įteikimo ceremonij</w:t>
      </w:r>
      <w:r>
        <w:rPr>
          <w:rFonts w:ascii="Times New Roman" w:hAnsi="Times New Roman" w:cs="Times New Roman"/>
          <w:sz w:val="24"/>
          <w:szCs w:val="24"/>
        </w:rPr>
        <w:t xml:space="preserve">a, </w:t>
      </w:r>
      <w:r w:rsidRPr="003E1693">
        <w:rPr>
          <w:rFonts w:ascii="Times New Roman" w:hAnsi="Times New Roman" w:cs="Times New Roman"/>
          <w:sz w:val="24"/>
          <w:szCs w:val="24"/>
        </w:rPr>
        <w:t>Rasų šventė</w:t>
      </w:r>
      <w:r w:rsidR="00C22E80">
        <w:rPr>
          <w:rFonts w:ascii="Times New Roman" w:hAnsi="Times New Roman" w:cs="Times New Roman"/>
          <w:sz w:val="24"/>
          <w:szCs w:val="24"/>
        </w:rPr>
        <w:t xml:space="preserve">, kurios metu vyko </w:t>
      </w:r>
      <w:r>
        <w:rPr>
          <w:rFonts w:ascii="Times New Roman" w:hAnsi="Times New Roman" w:cs="Times New Roman"/>
          <w:sz w:val="24"/>
          <w:szCs w:val="24"/>
        </w:rPr>
        <w:t>interaktyvi ekskursija, folkloro ansamblio „Aušrinė“, kapelos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Kuršininkai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pasirodymai, </w:t>
      </w:r>
      <w:r w:rsidRPr="003E1693">
        <w:rPr>
          <w:rFonts w:ascii="Times New Roman" w:hAnsi="Times New Roman" w:cs="Times New Roman"/>
          <w:sz w:val="24"/>
          <w:szCs w:val="24"/>
        </w:rPr>
        <w:t>sutartinių ratas Raganų kalne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1693">
        <w:rPr>
          <w:rFonts w:ascii="Times New Roman" w:hAnsi="Times New Roman" w:cs="Times New Roman"/>
          <w:sz w:val="24"/>
          <w:szCs w:val="24"/>
        </w:rPr>
        <w:t xml:space="preserve"> Advento vakaras „Mūsų namai čia, kopose“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A34451" w14:textId="5747DFB6" w:rsidR="00082879" w:rsidRPr="00D9358D" w:rsidRDefault="00D9358D" w:rsidP="00186B8F">
      <w:pPr>
        <w:pStyle w:val="Betarp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358D">
        <w:rPr>
          <w:rFonts w:ascii="Times New Roman" w:hAnsi="Times New Roman" w:cs="Times New Roman"/>
          <w:sz w:val="24"/>
          <w:szCs w:val="24"/>
        </w:rPr>
        <w:t xml:space="preserve">Svarbiausios parodos: neįgalaus menininko </w:t>
      </w:r>
      <w:proofErr w:type="spellStart"/>
      <w:r w:rsidRPr="00D9358D">
        <w:rPr>
          <w:rFonts w:ascii="Times New Roman" w:hAnsi="Times New Roman" w:cs="Times New Roman"/>
          <w:sz w:val="24"/>
          <w:szCs w:val="24"/>
        </w:rPr>
        <w:t>Dmitrij</w:t>
      </w:r>
      <w:proofErr w:type="spellEnd"/>
      <w:r w:rsidRPr="00D93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58D">
        <w:rPr>
          <w:rFonts w:ascii="Times New Roman" w:hAnsi="Times New Roman" w:cs="Times New Roman"/>
          <w:sz w:val="24"/>
          <w:szCs w:val="24"/>
        </w:rPr>
        <w:t>Dekteriov</w:t>
      </w:r>
      <w:proofErr w:type="spellEnd"/>
      <w:r w:rsidRPr="00D9358D">
        <w:rPr>
          <w:rFonts w:ascii="Times New Roman" w:hAnsi="Times New Roman" w:cs="Times New Roman"/>
          <w:sz w:val="24"/>
          <w:szCs w:val="24"/>
        </w:rPr>
        <w:t xml:space="preserve"> darbų paroda „Kelias“, </w:t>
      </w:r>
      <w:proofErr w:type="spellStart"/>
      <w:r w:rsidRPr="00D9358D">
        <w:rPr>
          <w:rFonts w:ascii="Times New Roman" w:hAnsi="Times New Roman" w:cs="Times New Roman"/>
          <w:sz w:val="24"/>
          <w:szCs w:val="24"/>
        </w:rPr>
        <w:t>Viganto</w:t>
      </w:r>
      <w:proofErr w:type="spellEnd"/>
      <w:r w:rsidRPr="00D9358D">
        <w:rPr>
          <w:rFonts w:ascii="Times New Roman" w:hAnsi="Times New Roman" w:cs="Times New Roman"/>
          <w:sz w:val="24"/>
          <w:szCs w:val="24"/>
        </w:rPr>
        <w:t xml:space="preserve"> Giedraičio fotografijų paroda „Kopų paslapties beieškant“, Ukrainos menininkės Lizos </w:t>
      </w:r>
      <w:proofErr w:type="spellStart"/>
      <w:r w:rsidRPr="00D9358D">
        <w:rPr>
          <w:rFonts w:ascii="Times New Roman" w:hAnsi="Times New Roman" w:cs="Times New Roman"/>
          <w:sz w:val="24"/>
          <w:szCs w:val="24"/>
        </w:rPr>
        <w:t>Kravtsovos</w:t>
      </w:r>
      <w:proofErr w:type="spellEnd"/>
      <w:r w:rsidRPr="00D9358D">
        <w:rPr>
          <w:rFonts w:ascii="Times New Roman" w:hAnsi="Times New Roman" w:cs="Times New Roman"/>
          <w:sz w:val="24"/>
          <w:szCs w:val="24"/>
        </w:rPr>
        <w:t xml:space="preserve"> paroda „</w:t>
      </w:r>
      <w:proofErr w:type="spellStart"/>
      <w:r w:rsidRPr="00D9358D">
        <w:rPr>
          <w:rFonts w:ascii="Times New Roman" w:hAnsi="Times New Roman" w:cs="Times New Roman"/>
          <w:sz w:val="24"/>
          <w:szCs w:val="24"/>
        </w:rPr>
        <w:t>Huculų</w:t>
      </w:r>
      <w:proofErr w:type="spellEnd"/>
      <w:r w:rsidRPr="00D9358D">
        <w:rPr>
          <w:rFonts w:ascii="Times New Roman" w:hAnsi="Times New Roman" w:cs="Times New Roman"/>
          <w:sz w:val="24"/>
          <w:szCs w:val="24"/>
        </w:rPr>
        <w:t xml:space="preserve"> gyvenimas. Piršlybos“, Liudvikos Meškauskaitės tapybos ant šilko paroda „</w:t>
      </w:r>
      <w:proofErr w:type="spellStart"/>
      <w:r w:rsidRPr="00D9358D">
        <w:rPr>
          <w:rFonts w:ascii="Times New Roman" w:hAnsi="Times New Roman" w:cs="Times New Roman"/>
          <w:sz w:val="24"/>
          <w:szCs w:val="24"/>
        </w:rPr>
        <w:t>Šilkodemija</w:t>
      </w:r>
      <w:proofErr w:type="spellEnd"/>
      <w:r w:rsidRPr="00D9358D">
        <w:rPr>
          <w:rFonts w:ascii="Times New Roman" w:hAnsi="Times New Roman" w:cs="Times New Roman"/>
          <w:sz w:val="24"/>
          <w:szCs w:val="24"/>
        </w:rPr>
        <w:t>“, j</w:t>
      </w:r>
      <w:r w:rsidR="00B6472F" w:rsidRPr="00D9358D">
        <w:rPr>
          <w:rFonts w:ascii="Times New Roman" w:hAnsi="Times New Roman" w:cs="Times New Roman"/>
          <w:sz w:val="24"/>
          <w:szCs w:val="24"/>
        </w:rPr>
        <w:t>uodkrant</w:t>
      </w:r>
      <w:r w:rsidR="00E8757D" w:rsidRPr="00D9358D">
        <w:rPr>
          <w:rFonts w:ascii="Times New Roman" w:hAnsi="Times New Roman" w:cs="Times New Roman"/>
          <w:sz w:val="24"/>
          <w:szCs w:val="24"/>
        </w:rPr>
        <w:t>iškių darbų paroda</w:t>
      </w:r>
      <w:r w:rsidR="00441501" w:rsidRPr="00D9358D">
        <w:rPr>
          <w:rFonts w:ascii="Times New Roman" w:hAnsi="Times New Roman" w:cs="Times New Roman"/>
          <w:sz w:val="24"/>
          <w:szCs w:val="24"/>
        </w:rPr>
        <w:t xml:space="preserve"> </w:t>
      </w:r>
      <w:r w:rsidR="00B365B0" w:rsidRPr="00D9358D">
        <w:rPr>
          <w:rFonts w:ascii="Times New Roman" w:hAnsi="Times New Roman" w:cs="Times New Roman"/>
          <w:sz w:val="24"/>
          <w:szCs w:val="24"/>
        </w:rPr>
        <w:t xml:space="preserve">ir kiti renginiai, skatinantys </w:t>
      </w:r>
      <w:r w:rsidR="00AB5B26" w:rsidRPr="00D9358D">
        <w:rPr>
          <w:rFonts w:ascii="Times New Roman" w:hAnsi="Times New Roman" w:cs="Times New Roman"/>
          <w:sz w:val="24"/>
          <w:szCs w:val="24"/>
        </w:rPr>
        <w:t xml:space="preserve">Juodkrantės gyventojus </w:t>
      </w:r>
      <w:r w:rsidR="00B365B0" w:rsidRPr="00D9358D">
        <w:rPr>
          <w:rFonts w:ascii="Times New Roman" w:hAnsi="Times New Roman" w:cs="Times New Roman"/>
          <w:sz w:val="24"/>
          <w:szCs w:val="24"/>
        </w:rPr>
        <w:t>aktyviai dalyvauti</w:t>
      </w:r>
      <w:r w:rsidR="00AB5B26" w:rsidRPr="00D9358D">
        <w:rPr>
          <w:rFonts w:ascii="Times New Roman" w:hAnsi="Times New Roman" w:cs="Times New Roman"/>
          <w:sz w:val="24"/>
          <w:szCs w:val="24"/>
        </w:rPr>
        <w:t xml:space="preserve"> Centro veikloje</w:t>
      </w:r>
      <w:r w:rsidR="00B365B0" w:rsidRPr="00D9358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867E97D" w14:textId="6436FACC" w:rsidR="00D9358D" w:rsidRPr="00D9358D" w:rsidRDefault="00D9358D" w:rsidP="00186B8F">
      <w:pPr>
        <w:pStyle w:val="Betarp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358D">
        <w:rPr>
          <w:rFonts w:ascii="Times New Roman" w:hAnsi="Times New Roman" w:cs="Times New Roman"/>
          <w:sz w:val="24"/>
          <w:szCs w:val="24"/>
        </w:rPr>
        <w:t>Svarbiausi knygų pristatymai: p</w:t>
      </w:r>
      <w:r w:rsidR="00D64606" w:rsidRPr="00D9358D">
        <w:rPr>
          <w:rFonts w:ascii="Times New Roman" w:hAnsi="Times New Roman" w:cs="Times New Roman"/>
          <w:sz w:val="24"/>
          <w:szCs w:val="24"/>
        </w:rPr>
        <w:t>oetės Daivos Molytės eilėraščių ir iliustracijų knygos „Kaligrafijos eskizai“ pristatymas,</w:t>
      </w:r>
      <w:r w:rsidRPr="00D9358D">
        <w:rPr>
          <w:rFonts w:ascii="Times New Roman" w:hAnsi="Times New Roman" w:cs="Times New Roman"/>
          <w:sz w:val="24"/>
          <w:szCs w:val="24"/>
        </w:rPr>
        <w:t xml:space="preserve"> kultūros almanacho „Dorė“ pristatymas su Jonu Baltoku ir grupės „</w:t>
      </w:r>
      <w:proofErr w:type="spellStart"/>
      <w:r w:rsidRPr="00D9358D">
        <w:rPr>
          <w:rFonts w:ascii="Times New Roman" w:hAnsi="Times New Roman" w:cs="Times New Roman"/>
          <w:sz w:val="24"/>
          <w:szCs w:val="24"/>
        </w:rPr>
        <w:t>JieDu</w:t>
      </w:r>
      <w:proofErr w:type="spellEnd"/>
      <w:r w:rsidRPr="00D9358D">
        <w:rPr>
          <w:rFonts w:ascii="Times New Roman" w:hAnsi="Times New Roman" w:cs="Times New Roman"/>
          <w:sz w:val="24"/>
          <w:szCs w:val="24"/>
        </w:rPr>
        <w:t xml:space="preserve">“ muzikine-literatūrine kompozicija „Laiškas iš Juodkrantės“, Roberto Petrausko knygos „Poltava“ pristatymas, prof. </w:t>
      </w:r>
      <w:r w:rsidR="00220FE0">
        <w:rPr>
          <w:rFonts w:ascii="Times New Roman" w:hAnsi="Times New Roman" w:cs="Times New Roman"/>
          <w:sz w:val="24"/>
          <w:szCs w:val="24"/>
        </w:rPr>
        <w:t>d</w:t>
      </w:r>
      <w:r w:rsidRPr="00D9358D">
        <w:rPr>
          <w:rFonts w:ascii="Times New Roman" w:hAnsi="Times New Roman" w:cs="Times New Roman"/>
          <w:sz w:val="24"/>
          <w:szCs w:val="24"/>
        </w:rPr>
        <w:t xml:space="preserve">r. Dalios </w:t>
      </w:r>
      <w:proofErr w:type="spellStart"/>
      <w:r w:rsidRPr="00D9358D">
        <w:rPr>
          <w:rFonts w:ascii="Times New Roman" w:hAnsi="Times New Roman" w:cs="Times New Roman"/>
          <w:sz w:val="24"/>
          <w:szCs w:val="24"/>
        </w:rPr>
        <w:t>Kiseliūnaitės</w:t>
      </w:r>
      <w:proofErr w:type="spellEnd"/>
      <w:r w:rsidRPr="00D9358D">
        <w:rPr>
          <w:rFonts w:ascii="Times New Roman" w:hAnsi="Times New Roman" w:cs="Times New Roman"/>
          <w:sz w:val="24"/>
          <w:szCs w:val="24"/>
        </w:rPr>
        <w:t xml:space="preserve">  monografijos „Kuršių nerijos </w:t>
      </w:r>
      <w:proofErr w:type="spellStart"/>
      <w:r w:rsidRPr="00D9358D">
        <w:rPr>
          <w:rFonts w:ascii="Times New Roman" w:hAnsi="Times New Roman" w:cs="Times New Roman"/>
          <w:sz w:val="24"/>
          <w:szCs w:val="24"/>
        </w:rPr>
        <w:t>kuršininkų</w:t>
      </w:r>
      <w:proofErr w:type="spellEnd"/>
      <w:r w:rsidRPr="00D9358D">
        <w:rPr>
          <w:rFonts w:ascii="Times New Roman" w:hAnsi="Times New Roman" w:cs="Times New Roman"/>
          <w:sz w:val="24"/>
          <w:szCs w:val="24"/>
        </w:rPr>
        <w:t xml:space="preserve"> kalba. I dalis. Fonetika ir fonologija“ pristatymas.</w:t>
      </w:r>
    </w:p>
    <w:p w14:paraId="22D96B7F" w14:textId="5D555EAC" w:rsidR="00F075C2" w:rsidRDefault="00F075C2" w:rsidP="00186B8F">
      <w:pPr>
        <w:pStyle w:val="Betarp"/>
        <w:ind w:firstLine="1134"/>
        <w:jc w:val="both"/>
        <w:rPr>
          <w:rFonts w:ascii="Times New Roman" w:hAnsi="Times New Roman" w:cs="Times New Roman"/>
          <w:color w:val="05050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Vasaros metu o</w:t>
      </w:r>
      <w:r w:rsidRPr="00F075C2">
        <w:rPr>
          <w:rFonts w:ascii="Times New Roman" w:hAnsi="Times New Roman" w:cs="Times New Roman"/>
          <w:sz w:val="24"/>
          <w:szCs w:val="24"/>
        </w:rPr>
        <w:t>rganizavome p</w:t>
      </w:r>
      <w:r w:rsidR="00D9358D" w:rsidRPr="00F075C2">
        <w:rPr>
          <w:rFonts w:ascii="Times New Roman" w:hAnsi="Times New Roman" w:cs="Times New Roman"/>
          <w:sz w:val="24"/>
          <w:szCs w:val="24"/>
        </w:rPr>
        <w:t>enktadienio kino vakar</w:t>
      </w:r>
      <w:r w:rsidRPr="00F075C2">
        <w:rPr>
          <w:rFonts w:ascii="Times New Roman" w:hAnsi="Times New Roman" w:cs="Times New Roman"/>
          <w:sz w:val="24"/>
          <w:szCs w:val="24"/>
        </w:rPr>
        <w:t>us</w:t>
      </w:r>
      <w:r w:rsidR="00D9358D" w:rsidRPr="00F075C2">
        <w:rPr>
          <w:rFonts w:ascii="Times New Roman" w:hAnsi="Times New Roman" w:cs="Times New Roman"/>
          <w:sz w:val="24"/>
          <w:szCs w:val="24"/>
        </w:rPr>
        <w:t xml:space="preserve"> po atviru dangumi</w:t>
      </w:r>
      <w:r w:rsidRPr="00F075C2">
        <w:rPr>
          <w:rFonts w:ascii="Times New Roman" w:hAnsi="Times New Roman" w:cs="Times New Roman"/>
          <w:sz w:val="24"/>
          <w:szCs w:val="24"/>
        </w:rPr>
        <w:t>,</w:t>
      </w:r>
      <w:r w:rsidR="00D9358D" w:rsidRPr="00F075C2">
        <w:rPr>
          <w:rFonts w:ascii="Times New Roman" w:hAnsi="Times New Roman" w:cs="Times New Roman"/>
          <w:sz w:val="24"/>
          <w:szCs w:val="24"/>
        </w:rPr>
        <w:t xml:space="preserve"> kurių metu rodėme nekomercinius meninius ir dokumentinius filmus apie Prūsų Lietuvą</w:t>
      </w:r>
      <w:r w:rsidRPr="00F075C2">
        <w:rPr>
          <w:rFonts w:ascii="Times New Roman" w:hAnsi="Times New Roman" w:cs="Times New Roman"/>
          <w:sz w:val="24"/>
          <w:szCs w:val="24"/>
        </w:rPr>
        <w:t xml:space="preserve">. </w:t>
      </w:r>
      <w:r w:rsidR="00D91815">
        <w:rPr>
          <w:rFonts w:ascii="Times New Roman" w:hAnsi="Times New Roman" w:cs="Times New Roman"/>
          <w:sz w:val="24"/>
          <w:szCs w:val="24"/>
        </w:rPr>
        <w:t xml:space="preserve">Tęsdami vietos gyventojų </w:t>
      </w:r>
      <w:r w:rsidR="00D77A47">
        <w:rPr>
          <w:rFonts w:ascii="Times New Roman" w:hAnsi="Times New Roman" w:cs="Times New Roman"/>
          <w:sz w:val="24"/>
          <w:szCs w:val="24"/>
        </w:rPr>
        <w:t>istorijos įamžinim</w:t>
      </w:r>
      <w:r w:rsidR="00942EAB">
        <w:rPr>
          <w:rFonts w:ascii="Times New Roman" w:hAnsi="Times New Roman" w:cs="Times New Roman"/>
          <w:sz w:val="24"/>
          <w:szCs w:val="24"/>
        </w:rPr>
        <w:t>ą</w:t>
      </w:r>
      <w:r w:rsidR="00D77A47">
        <w:rPr>
          <w:rFonts w:ascii="Times New Roman" w:hAnsi="Times New Roman" w:cs="Times New Roman"/>
          <w:sz w:val="24"/>
          <w:szCs w:val="24"/>
        </w:rPr>
        <w:t>, p</w:t>
      </w:r>
      <w:r w:rsidRPr="00F075C2">
        <w:rPr>
          <w:rFonts w:ascii="Times New Roman" w:hAnsi="Times New Roman" w:cs="Times New Roman"/>
          <w:sz w:val="24"/>
          <w:szCs w:val="24"/>
        </w:rPr>
        <w:t>risidėjome prie dokumentinio filmo „Mokytoja Aldona“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75C2">
        <w:rPr>
          <w:rFonts w:ascii="Times New Roman" w:hAnsi="Times New Roman" w:cs="Times New Roman"/>
          <w:sz w:val="24"/>
          <w:szCs w:val="24"/>
        </w:rPr>
        <w:t xml:space="preserve"> skirt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075C2">
        <w:rPr>
          <w:rFonts w:ascii="Times New Roman" w:hAnsi="Times New Roman" w:cs="Times New Roman"/>
          <w:sz w:val="24"/>
          <w:szCs w:val="24"/>
        </w:rPr>
        <w:t xml:space="preserve"> žymiai ir nusipelniusiai Juodkrantės pedagogei ir seniūnei Aldonai </w:t>
      </w:r>
      <w:proofErr w:type="spellStart"/>
      <w:r w:rsidRPr="00F075C2">
        <w:rPr>
          <w:rFonts w:ascii="Times New Roman" w:hAnsi="Times New Roman" w:cs="Times New Roman"/>
          <w:sz w:val="24"/>
          <w:szCs w:val="24"/>
        </w:rPr>
        <w:t>Balsevičienei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75C2">
        <w:rPr>
          <w:rFonts w:ascii="Times New Roman" w:hAnsi="Times New Roman" w:cs="Times New Roman"/>
          <w:sz w:val="24"/>
          <w:szCs w:val="24"/>
        </w:rPr>
        <w:t>kūrybos ir organizavome peržiūrą</w:t>
      </w:r>
      <w:r>
        <w:rPr>
          <w:rFonts w:ascii="Times New Roman" w:hAnsi="Times New Roman" w:cs="Times New Roman"/>
          <w:sz w:val="24"/>
          <w:szCs w:val="24"/>
        </w:rPr>
        <w:t xml:space="preserve">. Surengėm </w:t>
      </w:r>
      <w:r w:rsidRPr="00F075C2">
        <w:rPr>
          <w:rFonts w:ascii="Times New Roman" w:hAnsi="Times New Roman" w:cs="Times New Roman"/>
          <w:sz w:val="24"/>
          <w:szCs w:val="24"/>
        </w:rPr>
        <w:t xml:space="preserve"> </w:t>
      </w:r>
      <w:r w:rsidRPr="00F075C2">
        <w:rPr>
          <w:rFonts w:ascii="Times New Roman" w:hAnsi="Times New Roman" w:cs="Times New Roman"/>
          <w:color w:val="050505"/>
          <w:sz w:val="24"/>
          <w:szCs w:val="24"/>
        </w:rPr>
        <w:t xml:space="preserve">režisieriaus Vytauto </w:t>
      </w:r>
      <w:proofErr w:type="spellStart"/>
      <w:r w:rsidRPr="00F075C2">
        <w:rPr>
          <w:rFonts w:ascii="Times New Roman" w:hAnsi="Times New Roman" w:cs="Times New Roman"/>
          <w:color w:val="050505"/>
          <w:sz w:val="24"/>
          <w:szCs w:val="24"/>
        </w:rPr>
        <w:t>Gradecko</w:t>
      </w:r>
      <w:proofErr w:type="spellEnd"/>
      <w:r w:rsidRPr="00F075C2">
        <w:rPr>
          <w:rFonts w:ascii="Times New Roman" w:hAnsi="Times New Roman" w:cs="Times New Roman"/>
          <w:color w:val="050505"/>
          <w:sz w:val="24"/>
          <w:szCs w:val="24"/>
        </w:rPr>
        <w:t xml:space="preserve"> dokumentinio filmo </w:t>
      </w:r>
      <w:r>
        <w:rPr>
          <w:rFonts w:ascii="Times New Roman" w:hAnsi="Times New Roman" w:cs="Times New Roman"/>
          <w:color w:val="050505"/>
          <w:sz w:val="24"/>
          <w:szCs w:val="24"/>
        </w:rPr>
        <w:t>„</w:t>
      </w:r>
      <w:r w:rsidRPr="00F075C2">
        <w:rPr>
          <w:rFonts w:ascii="Times New Roman" w:hAnsi="Times New Roman" w:cs="Times New Roman"/>
          <w:color w:val="050505"/>
          <w:sz w:val="24"/>
          <w:szCs w:val="24"/>
        </w:rPr>
        <w:t>Nešėm, kol pavargom</w:t>
      </w:r>
      <w:r>
        <w:rPr>
          <w:rFonts w:ascii="Times New Roman" w:hAnsi="Times New Roman" w:cs="Times New Roman"/>
          <w:color w:val="050505"/>
          <w:sz w:val="24"/>
          <w:szCs w:val="24"/>
        </w:rPr>
        <w:t>“</w:t>
      </w:r>
      <w:r w:rsidRPr="00F075C2">
        <w:rPr>
          <w:rFonts w:ascii="Times New Roman" w:hAnsi="Times New Roman" w:cs="Times New Roman"/>
          <w:color w:val="050505"/>
          <w:sz w:val="24"/>
          <w:szCs w:val="24"/>
        </w:rPr>
        <w:t xml:space="preserve"> peržiūrą. </w:t>
      </w:r>
      <w:r w:rsidR="003E1693">
        <w:rPr>
          <w:rFonts w:ascii="Times New Roman" w:hAnsi="Times New Roman" w:cs="Times New Roman"/>
          <w:color w:val="050505"/>
          <w:sz w:val="24"/>
          <w:szCs w:val="24"/>
        </w:rPr>
        <w:t>S</w:t>
      </w:r>
      <w:r>
        <w:rPr>
          <w:rFonts w:ascii="Times New Roman" w:hAnsi="Times New Roman" w:cs="Times New Roman"/>
          <w:color w:val="050505"/>
          <w:sz w:val="24"/>
          <w:szCs w:val="24"/>
        </w:rPr>
        <w:t>uorganizavom n</w:t>
      </w:r>
      <w:r w:rsidRPr="00F075C2">
        <w:rPr>
          <w:rFonts w:ascii="Times New Roman" w:hAnsi="Times New Roman" w:cs="Times New Roman"/>
          <w:sz w:val="24"/>
          <w:szCs w:val="24"/>
        </w:rPr>
        <w:t>emokam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F075C2">
        <w:rPr>
          <w:rFonts w:ascii="Times New Roman" w:hAnsi="Times New Roman" w:cs="Times New Roman"/>
          <w:sz w:val="24"/>
          <w:szCs w:val="24"/>
        </w:rPr>
        <w:t xml:space="preserve"> seans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F075C2">
        <w:rPr>
          <w:rFonts w:ascii="Times New Roman" w:hAnsi="Times New Roman" w:cs="Times New Roman"/>
          <w:sz w:val="24"/>
          <w:szCs w:val="24"/>
        </w:rPr>
        <w:t xml:space="preserve"> – dovan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F075C2">
        <w:rPr>
          <w:rFonts w:ascii="Times New Roman" w:hAnsi="Times New Roman" w:cs="Times New Roman"/>
          <w:sz w:val="24"/>
          <w:szCs w:val="24"/>
        </w:rPr>
        <w:t xml:space="preserve"> bendruomenei režisierės Inesos </w:t>
      </w:r>
      <w:proofErr w:type="spellStart"/>
      <w:r w:rsidRPr="00F075C2">
        <w:rPr>
          <w:rFonts w:ascii="Times New Roman" w:hAnsi="Times New Roman" w:cs="Times New Roman"/>
          <w:sz w:val="24"/>
          <w:szCs w:val="24"/>
        </w:rPr>
        <w:t>Kurklietytės</w:t>
      </w:r>
      <w:proofErr w:type="spellEnd"/>
      <w:r w:rsidRPr="00F075C2">
        <w:rPr>
          <w:rFonts w:ascii="Times New Roman" w:hAnsi="Times New Roman" w:cs="Times New Roman"/>
          <w:sz w:val="24"/>
          <w:szCs w:val="24"/>
        </w:rPr>
        <w:t xml:space="preserve"> filmo šeimai </w:t>
      </w:r>
      <w:r>
        <w:rPr>
          <w:rFonts w:ascii="Times New Roman" w:hAnsi="Times New Roman" w:cs="Times New Roman"/>
          <w:sz w:val="24"/>
          <w:szCs w:val="24"/>
        </w:rPr>
        <w:t>„D</w:t>
      </w:r>
      <w:r w:rsidRPr="00F075C2">
        <w:rPr>
          <w:rFonts w:ascii="Times New Roman" w:hAnsi="Times New Roman" w:cs="Times New Roman"/>
          <w:sz w:val="24"/>
          <w:szCs w:val="24"/>
        </w:rPr>
        <w:t>rugelio širdis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075C2">
        <w:rPr>
          <w:rFonts w:ascii="Times New Roman" w:hAnsi="Times New Roman" w:cs="Times New Roman"/>
          <w:sz w:val="24"/>
          <w:szCs w:val="24"/>
        </w:rPr>
        <w:t xml:space="preserve"> peržiūrą.</w:t>
      </w:r>
      <w:r w:rsidRPr="00F075C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</w:p>
    <w:p w14:paraId="6F2B1207" w14:textId="2F1DDA7B" w:rsidR="00220FE0" w:rsidRPr="00220FE0" w:rsidRDefault="00220FE0" w:rsidP="00186B8F">
      <w:pPr>
        <w:ind w:firstLine="1134"/>
        <w:jc w:val="both"/>
        <w:rPr>
          <w:rFonts w:eastAsiaTheme="minorHAnsi"/>
          <w:lang w:eastAsia="en-US"/>
        </w:rPr>
      </w:pPr>
      <w:r w:rsidRPr="00220FE0">
        <w:rPr>
          <w:rFonts w:eastAsiaTheme="minorHAnsi"/>
          <w:lang w:eastAsia="en-US"/>
        </w:rPr>
        <w:t xml:space="preserve">Svarbiausios edukacijos: kūrybinės keramikos dirbtuvės (balandžio ir gegužės mėn.) su juodkrantiškiais tautodailininku Robertu Simaičiu bei Indre </w:t>
      </w:r>
      <w:proofErr w:type="spellStart"/>
      <w:r w:rsidRPr="00220FE0">
        <w:rPr>
          <w:rFonts w:eastAsiaTheme="minorHAnsi"/>
          <w:lang w:eastAsia="en-US"/>
        </w:rPr>
        <w:t>Dikavičiūte</w:t>
      </w:r>
      <w:proofErr w:type="spellEnd"/>
      <w:r>
        <w:rPr>
          <w:rFonts w:eastAsiaTheme="minorHAnsi"/>
          <w:lang w:eastAsia="en-US"/>
        </w:rPr>
        <w:t>, k</w:t>
      </w:r>
      <w:r w:rsidRPr="00220FE0">
        <w:rPr>
          <w:rFonts w:eastAsiaTheme="minorHAnsi"/>
          <w:lang w:eastAsia="en-US"/>
        </w:rPr>
        <w:t>ūrybinės dirbtuvės – mokymai „Užgavėnių kaukės kitaip“</w:t>
      </w:r>
      <w:r w:rsidR="006D054A">
        <w:rPr>
          <w:rFonts w:eastAsiaTheme="minorHAnsi"/>
          <w:lang w:eastAsia="en-US"/>
        </w:rPr>
        <w:t xml:space="preserve">, </w:t>
      </w:r>
      <w:r w:rsidR="006D054A" w:rsidRPr="00EE2C13">
        <w:t>Kultūros paso paslaug</w:t>
      </w:r>
      <w:r w:rsidR="006D054A">
        <w:t>a</w:t>
      </w:r>
      <w:r w:rsidR="006D054A" w:rsidRPr="00EE2C13">
        <w:t xml:space="preserve"> „Ekskursija po istorinį Juodkrantės kurorto „aukso amžiaus“ vilų kvartalą“</w:t>
      </w:r>
      <w:r w:rsidR="006D054A">
        <w:t>.</w:t>
      </w:r>
    </w:p>
    <w:p w14:paraId="1021C96D" w14:textId="4D54BBCA" w:rsidR="00220FE0" w:rsidRDefault="00220FE0" w:rsidP="00186B8F">
      <w:pPr>
        <w:ind w:firstLine="1134"/>
        <w:jc w:val="both"/>
        <w:rPr>
          <w:rFonts w:eastAsiaTheme="minorHAnsi"/>
          <w:lang w:eastAsia="en-US"/>
        </w:rPr>
      </w:pPr>
      <w:r w:rsidRPr="00220FE0">
        <w:rPr>
          <w:rFonts w:eastAsiaTheme="minorHAnsi"/>
          <w:lang w:eastAsia="en-US"/>
        </w:rPr>
        <w:t>Bendradarbiavome Neringos savivaldybės projektuose: „Bendradarbiavimas per sieną, išsaugant kultūros paveldą turizmui ir bendruomenei“, „Bendradarbiavimas per sieną nuo kranto iki kranto“ ir dalyvavome renginiuose: ,,Poezijos ir melodijos pavasaris“ Preiloje;</w:t>
      </w:r>
      <w:r>
        <w:rPr>
          <w:rFonts w:eastAsiaTheme="minorHAnsi"/>
          <w:lang w:eastAsia="en-US"/>
        </w:rPr>
        <w:t xml:space="preserve"> </w:t>
      </w:r>
      <w:r w:rsidRPr="00220FE0">
        <w:rPr>
          <w:rFonts w:eastAsiaTheme="minorHAnsi"/>
          <w:lang w:eastAsia="en-US"/>
        </w:rPr>
        <w:t xml:space="preserve">„Mažoji Lietuva: istorija, tradicijos ir vietos bendruomenių unikalumas“ Agluonėnuose; </w:t>
      </w:r>
      <w:r w:rsidR="006D054A">
        <w:rPr>
          <w:rFonts w:eastAsiaTheme="minorHAnsi"/>
          <w:lang w:eastAsia="en-US"/>
        </w:rPr>
        <w:t xml:space="preserve">dalyvavome </w:t>
      </w:r>
      <w:r w:rsidRPr="00220FE0">
        <w:rPr>
          <w:rFonts w:eastAsiaTheme="minorHAnsi"/>
          <w:lang w:eastAsia="en-US"/>
        </w:rPr>
        <w:t>turistinio maršruto ,,Kultūros paveldo kelias“ kūrime; įgyvendinome renginį „Gyvi amatai“ Juodkrantėje.</w:t>
      </w:r>
    </w:p>
    <w:p w14:paraId="16E093BA" w14:textId="7C4A0784" w:rsidR="00220FE0" w:rsidRDefault="00220FE0" w:rsidP="00186B8F">
      <w:pPr>
        <w:pStyle w:val="Betarp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358D">
        <w:rPr>
          <w:rFonts w:ascii="Times New Roman" w:hAnsi="Times New Roman" w:cs="Times New Roman"/>
          <w:sz w:val="24"/>
          <w:szCs w:val="24"/>
        </w:rPr>
        <w:t xml:space="preserve">Buvo paminėtos Valstybinės, kalendorinės šventės, surengtos paskaitos, vedamos ekskursijos, mokymai, 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organizuoti pažintiniai žygiai, </w:t>
      </w:r>
      <w:r w:rsidRPr="00D9358D">
        <w:rPr>
          <w:rFonts w:ascii="Times New Roman" w:hAnsi="Times New Roman" w:cs="Times New Roman"/>
          <w:sz w:val="24"/>
          <w:szCs w:val="24"/>
        </w:rPr>
        <w:t xml:space="preserve">surengti festivaliai „Baltic </w:t>
      </w:r>
      <w:proofErr w:type="spellStart"/>
      <w:r w:rsidRPr="00D9358D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Pr="00D9358D">
        <w:rPr>
          <w:rFonts w:ascii="Times New Roman" w:hAnsi="Times New Roman" w:cs="Times New Roman"/>
          <w:sz w:val="24"/>
          <w:szCs w:val="24"/>
        </w:rPr>
        <w:t xml:space="preserve">“, „Juodkrantės kurorto dienos“, „Pūsk, </w:t>
      </w:r>
      <w:proofErr w:type="spellStart"/>
      <w:r w:rsidRPr="00D9358D">
        <w:rPr>
          <w:rFonts w:ascii="Times New Roman" w:hAnsi="Times New Roman" w:cs="Times New Roman"/>
          <w:sz w:val="24"/>
          <w:szCs w:val="24"/>
        </w:rPr>
        <w:t>vėjuži</w:t>
      </w:r>
      <w:proofErr w:type="spellEnd"/>
      <w:r w:rsidRPr="00D9358D">
        <w:rPr>
          <w:rFonts w:ascii="Times New Roman" w:hAnsi="Times New Roman" w:cs="Times New Roman"/>
          <w:sz w:val="24"/>
          <w:szCs w:val="24"/>
        </w:rPr>
        <w:t xml:space="preserve">!“. </w:t>
      </w:r>
    </w:p>
    <w:p w14:paraId="30F6D6B2" w14:textId="77777777" w:rsidR="00220FE0" w:rsidRDefault="00220FE0" w:rsidP="00186B8F">
      <w:pPr>
        <w:pStyle w:val="Betarp"/>
        <w:ind w:firstLine="1134"/>
        <w:jc w:val="both"/>
      </w:pPr>
    </w:p>
    <w:p w14:paraId="075FE0A1" w14:textId="602A6A94" w:rsidR="00E713AD" w:rsidRDefault="00AE2B73" w:rsidP="00186B8F">
      <w:pPr>
        <w:pStyle w:val="Style10"/>
        <w:widowControl/>
        <w:tabs>
          <w:tab w:val="left" w:pos="0"/>
        </w:tabs>
        <w:spacing w:line="240" w:lineRule="auto"/>
        <w:ind w:firstLine="1134"/>
        <w:jc w:val="both"/>
        <w:rPr>
          <w:color w:val="FF0000"/>
        </w:rPr>
      </w:pPr>
      <w:r>
        <w:tab/>
      </w:r>
      <w:r w:rsidR="00AA6A33">
        <w:t>2.2.</w:t>
      </w:r>
      <w:r w:rsidR="00D0714E">
        <w:t>2</w:t>
      </w:r>
      <w:r w:rsidR="00AA6A33">
        <w:t xml:space="preserve">. </w:t>
      </w:r>
      <w:r w:rsidR="00AA6A33" w:rsidRPr="007E4746">
        <w:t>Mėgėjų meno kolektyvų svarbiausios išvykos ir pasiekimai</w:t>
      </w:r>
      <w:r w:rsidR="006D054A">
        <w:t>.</w:t>
      </w:r>
      <w:r w:rsidR="00AA6A33" w:rsidRPr="007E4746">
        <w:t xml:space="preserve"> </w:t>
      </w:r>
    </w:p>
    <w:p w14:paraId="04392AD1" w14:textId="3DCFFEE1" w:rsidR="007D2781" w:rsidRPr="006D054A" w:rsidRDefault="006D054A" w:rsidP="00186B8F">
      <w:pPr>
        <w:pStyle w:val="Betarp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A7C8A" w:rsidRPr="007C296A">
        <w:rPr>
          <w:rFonts w:ascii="Times New Roman" w:hAnsi="Times New Roman" w:cs="Times New Roman"/>
          <w:sz w:val="24"/>
          <w:szCs w:val="24"/>
        </w:rPr>
        <w:t xml:space="preserve">oterų vokalinis ansamblis „Neringa“ dalyvavo </w:t>
      </w:r>
      <w:r>
        <w:rPr>
          <w:rFonts w:ascii="Times New Roman" w:hAnsi="Times New Roman" w:cs="Times New Roman"/>
          <w:sz w:val="24"/>
          <w:szCs w:val="24"/>
        </w:rPr>
        <w:t>operoje „Neringa“. K</w:t>
      </w:r>
      <w:r w:rsidRPr="00441501">
        <w:rPr>
          <w:rFonts w:ascii="Times New Roman" w:hAnsi="Times New Roman" w:cs="Times New Roman"/>
          <w:sz w:val="24"/>
          <w:szCs w:val="24"/>
        </w:rPr>
        <w:t>olektyvas</w:t>
      </w:r>
      <w:r>
        <w:rPr>
          <w:rFonts w:ascii="Times New Roman" w:hAnsi="Times New Roman" w:cs="Times New Roman"/>
          <w:sz w:val="24"/>
          <w:szCs w:val="24"/>
        </w:rPr>
        <w:t xml:space="preserve"> ruošėsi</w:t>
      </w:r>
      <w:r w:rsidRPr="00441501">
        <w:rPr>
          <w:rFonts w:ascii="Times New Roman" w:hAnsi="Times New Roman" w:cs="Times New Roman"/>
          <w:sz w:val="24"/>
          <w:szCs w:val="24"/>
        </w:rPr>
        <w:t xml:space="preserve"> Lietuvos vakarų krašto dainų šventei, bet dėl </w:t>
      </w:r>
      <w:r>
        <w:rPr>
          <w:rFonts w:ascii="Times New Roman" w:hAnsi="Times New Roman" w:cs="Times New Roman"/>
          <w:sz w:val="24"/>
          <w:szCs w:val="24"/>
        </w:rPr>
        <w:t xml:space="preserve">nenumatytų aplinkybių </w:t>
      </w:r>
      <w:r w:rsidRPr="00441501">
        <w:rPr>
          <w:rFonts w:ascii="Times New Roman" w:hAnsi="Times New Roman" w:cs="Times New Roman"/>
          <w:sz w:val="24"/>
          <w:szCs w:val="24"/>
        </w:rPr>
        <w:t>nepavyko sudalyvauti.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501">
        <w:rPr>
          <w:rFonts w:ascii="Times New Roman" w:hAnsi="Times New Roman" w:cs="Times New Roman"/>
          <w:sz w:val="24"/>
          <w:szCs w:val="24"/>
        </w:rPr>
        <w:t>Folkloro ansamblis „Aušrinė“ du kartus vyko į LRT laidos</w:t>
      </w:r>
      <w:r w:rsidR="00112081" w:rsidRPr="006D054A">
        <w:rPr>
          <w:rFonts w:ascii="Times New Roman" w:hAnsi="Times New Roman" w:cs="Times New Roman"/>
          <w:sz w:val="24"/>
          <w:szCs w:val="24"/>
        </w:rPr>
        <w:t xml:space="preserve"> „Duokim garo“ filmavimą Vilniuje.</w:t>
      </w:r>
      <w:r w:rsidR="00441501" w:rsidRPr="006D054A">
        <w:rPr>
          <w:rFonts w:ascii="Times New Roman" w:hAnsi="Times New Roman" w:cs="Times New Roman"/>
          <w:sz w:val="24"/>
          <w:szCs w:val="24"/>
        </w:rPr>
        <w:t xml:space="preserve"> </w:t>
      </w:r>
      <w:r w:rsidRPr="006D054A">
        <w:rPr>
          <w:rFonts w:ascii="Times New Roman" w:hAnsi="Times New Roman" w:cs="Times New Roman"/>
          <w:sz w:val="24"/>
          <w:szCs w:val="24"/>
        </w:rPr>
        <w:t>F</w:t>
      </w:r>
      <w:r w:rsidR="00112081" w:rsidRPr="006D054A">
        <w:rPr>
          <w:rFonts w:ascii="Times New Roman" w:hAnsi="Times New Roman" w:cs="Times New Roman"/>
          <w:sz w:val="24"/>
          <w:szCs w:val="24"/>
        </w:rPr>
        <w:t>olkloro festival</w:t>
      </w:r>
      <w:r w:rsidRPr="006D054A">
        <w:rPr>
          <w:rFonts w:ascii="Times New Roman" w:hAnsi="Times New Roman" w:cs="Times New Roman"/>
          <w:sz w:val="24"/>
          <w:szCs w:val="24"/>
        </w:rPr>
        <w:t>io</w:t>
      </w:r>
      <w:r w:rsidR="00112081" w:rsidRPr="006D054A">
        <w:rPr>
          <w:rFonts w:ascii="Times New Roman" w:hAnsi="Times New Roman" w:cs="Times New Roman"/>
          <w:sz w:val="24"/>
          <w:szCs w:val="24"/>
        </w:rPr>
        <w:t xml:space="preserve"> „Tek saulužė ant </w:t>
      </w:r>
      <w:proofErr w:type="spellStart"/>
      <w:r w:rsidR="00112081" w:rsidRPr="006D054A">
        <w:rPr>
          <w:rFonts w:ascii="Times New Roman" w:hAnsi="Times New Roman" w:cs="Times New Roman"/>
          <w:sz w:val="24"/>
          <w:szCs w:val="24"/>
        </w:rPr>
        <w:t>maračių</w:t>
      </w:r>
      <w:proofErr w:type="spellEnd"/>
      <w:r w:rsidR="00112081" w:rsidRPr="006D054A">
        <w:rPr>
          <w:rFonts w:ascii="Times New Roman" w:hAnsi="Times New Roman" w:cs="Times New Roman"/>
          <w:sz w:val="24"/>
          <w:szCs w:val="24"/>
        </w:rPr>
        <w:t xml:space="preserve">“ </w:t>
      </w:r>
      <w:r w:rsidRPr="006D054A">
        <w:rPr>
          <w:rFonts w:ascii="Times New Roman" w:hAnsi="Times New Roman" w:cs="Times New Roman"/>
          <w:sz w:val="24"/>
          <w:szCs w:val="24"/>
        </w:rPr>
        <w:t xml:space="preserve">metu </w:t>
      </w:r>
      <w:r w:rsidR="00112081" w:rsidRPr="006D054A">
        <w:rPr>
          <w:rFonts w:ascii="Times New Roman" w:hAnsi="Times New Roman" w:cs="Times New Roman"/>
          <w:sz w:val="24"/>
          <w:szCs w:val="24"/>
        </w:rPr>
        <w:t>dalyvav</w:t>
      </w:r>
      <w:r w:rsidRPr="006D054A">
        <w:rPr>
          <w:rFonts w:ascii="Times New Roman" w:hAnsi="Times New Roman" w:cs="Times New Roman"/>
          <w:sz w:val="24"/>
          <w:szCs w:val="24"/>
        </w:rPr>
        <w:t>o</w:t>
      </w:r>
      <w:r w:rsidR="00112081" w:rsidRPr="006D054A">
        <w:rPr>
          <w:rFonts w:ascii="Times New Roman" w:hAnsi="Times New Roman" w:cs="Times New Roman"/>
          <w:sz w:val="24"/>
          <w:szCs w:val="24"/>
        </w:rPr>
        <w:t xml:space="preserve"> „Duokim garo“ laidoje</w:t>
      </w:r>
      <w:r w:rsidR="00C22E80">
        <w:rPr>
          <w:rFonts w:ascii="Times New Roman" w:hAnsi="Times New Roman" w:cs="Times New Roman"/>
          <w:sz w:val="24"/>
          <w:szCs w:val="24"/>
        </w:rPr>
        <w:t>-</w:t>
      </w:r>
      <w:r w:rsidR="00112081" w:rsidRPr="006D054A">
        <w:rPr>
          <w:rFonts w:ascii="Times New Roman" w:hAnsi="Times New Roman" w:cs="Times New Roman"/>
          <w:sz w:val="24"/>
          <w:szCs w:val="24"/>
        </w:rPr>
        <w:t>tiesioginėje Joninių šventės transliacijoje per LRT</w:t>
      </w:r>
      <w:r>
        <w:rPr>
          <w:rFonts w:ascii="Times New Roman" w:hAnsi="Times New Roman" w:cs="Times New Roman"/>
          <w:sz w:val="24"/>
          <w:szCs w:val="24"/>
        </w:rPr>
        <w:t>, dalyvavo</w:t>
      </w:r>
      <w:r w:rsidRPr="006D0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112081" w:rsidRPr="006D054A">
        <w:rPr>
          <w:rFonts w:ascii="Times New Roman" w:hAnsi="Times New Roman" w:cs="Times New Roman"/>
          <w:sz w:val="24"/>
          <w:szCs w:val="24"/>
        </w:rPr>
        <w:t>tnofestival</w:t>
      </w:r>
      <w:r>
        <w:rPr>
          <w:rFonts w:ascii="Times New Roman" w:hAnsi="Times New Roman" w:cs="Times New Roman"/>
          <w:sz w:val="24"/>
          <w:szCs w:val="24"/>
        </w:rPr>
        <w:t>yje</w:t>
      </w:r>
      <w:proofErr w:type="spellEnd"/>
      <w:r w:rsidR="00112081" w:rsidRPr="006D054A">
        <w:rPr>
          <w:rFonts w:ascii="Times New Roman" w:hAnsi="Times New Roman" w:cs="Times New Roman"/>
          <w:sz w:val="24"/>
          <w:szCs w:val="24"/>
        </w:rPr>
        <w:t xml:space="preserve"> „Kultūros tiltas: Mažoji Lietuva – Dzūkija“ Alytu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12081" w:rsidRPr="006D05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781" w:rsidRPr="006D054A">
        <w:rPr>
          <w:rFonts w:ascii="Times New Roman" w:hAnsi="Times New Roman" w:cs="Times New Roman"/>
          <w:sz w:val="24"/>
          <w:szCs w:val="24"/>
        </w:rPr>
        <w:t xml:space="preserve">Mėgėjų meno kolektyvai sukūrė </w:t>
      </w:r>
      <w:r w:rsidR="00441501" w:rsidRPr="006D054A">
        <w:rPr>
          <w:rFonts w:ascii="Times New Roman" w:hAnsi="Times New Roman" w:cs="Times New Roman"/>
          <w:sz w:val="24"/>
          <w:szCs w:val="24"/>
        </w:rPr>
        <w:t>6</w:t>
      </w:r>
      <w:r w:rsidR="007D2781" w:rsidRPr="006D054A">
        <w:rPr>
          <w:rFonts w:ascii="Times New Roman" w:hAnsi="Times New Roman" w:cs="Times New Roman"/>
          <w:sz w:val="24"/>
          <w:szCs w:val="24"/>
        </w:rPr>
        <w:t xml:space="preserve"> naujas koncertines programas. </w:t>
      </w:r>
      <w:r w:rsidR="000F758E" w:rsidRPr="006D054A">
        <w:rPr>
          <w:rFonts w:ascii="Times New Roman" w:hAnsi="Times New Roman" w:cs="Times New Roman"/>
          <w:sz w:val="24"/>
          <w:szCs w:val="24"/>
        </w:rPr>
        <w:t xml:space="preserve">Pasiūti </w:t>
      </w:r>
      <w:r>
        <w:rPr>
          <w:rFonts w:ascii="Times New Roman" w:hAnsi="Times New Roman" w:cs="Times New Roman"/>
          <w:sz w:val="24"/>
          <w:szCs w:val="24"/>
        </w:rPr>
        <w:t xml:space="preserve">koncertiniai </w:t>
      </w:r>
      <w:r w:rsidR="000F758E" w:rsidRPr="006D054A">
        <w:rPr>
          <w:rFonts w:ascii="Times New Roman" w:hAnsi="Times New Roman" w:cs="Times New Roman"/>
          <w:sz w:val="24"/>
          <w:szCs w:val="24"/>
        </w:rPr>
        <w:t xml:space="preserve">drabužiai </w:t>
      </w:r>
      <w:r>
        <w:rPr>
          <w:rFonts w:ascii="Times New Roman" w:hAnsi="Times New Roman" w:cs="Times New Roman"/>
          <w:sz w:val="24"/>
          <w:szCs w:val="24"/>
        </w:rPr>
        <w:t xml:space="preserve">folkloro ansamblio „Aušrinė“ ir </w:t>
      </w:r>
      <w:r w:rsidR="000F758E" w:rsidRPr="006D054A">
        <w:rPr>
          <w:rFonts w:ascii="Times New Roman" w:hAnsi="Times New Roman" w:cs="Times New Roman"/>
          <w:sz w:val="24"/>
          <w:szCs w:val="24"/>
        </w:rPr>
        <w:t>kapel</w:t>
      </w:r>
      <w:r>
        <w:rPr>
          <w:rFonts w:ascii="Times New Roman" w:hAnsi="Times New Roman" w:cs="Times New Roman"/>
          <w:sz w:val="24"/>
          <w:szCs w:val="24"/>
        </w:rPr>
        <w:t>os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Kuršininkai</w:t>
      </w:r>
      <w:proofErr w:type="spellEnd"/>
      <w:r>
        <w:rPr>
          <w:rFonts w:ascii="Times New Roman" w:hAnsi="Times New Roman" w:cs="Times New Roman"/>
          <w:sz w:val="24"/>
          <w:szCs w:val="24"/>
        </w:rPr>
        <w:t>“ nariams.</w:t>
      </w:r>
    </w:p>
    <w:p w14:paraId="43A186A6" w14:textId="77777777" w:rsidR="006D054A" w:rsidRDefault="006D054A" w:rsidP="00186B8F">
      <w:pPr>
        <w:ind w:firstLine="1134"/>
        <w:jc w:val="both"/>
      </w:pPr>
    </w:p>
    <w:p w14:paraId="7ED6587A" w14:textId="2FD96FC4" w:rsidR="00FF0458" w:rsidRDefault="00514820" w:rsidP="00186B8F">
      <w:pPr>
        <w:ind w:firstLine="1134"/>
        <w:jc w:val="both"/>
        <w:rPr>
          <w:bCs/>
          <w:szCs w:val="20"/>
        </w:rPr>
      </w:pPr>
      <w:r w:rsidRPr="00960594">
        <w:t>2.2.</w:t>
      </w:r>
      <w:r w:rsidR="001911E3" w:rsidRPr="00960594">
        <w:t>3</w:t>
      </w:r>
      <w:r w:rsidRPr="005B5627">
        <w:t xml:space="preserve">. </w:t>
      </w:r>
      <w:r w:rsidR="00D77681" w:rsidRPr="005B5627">
        <w:t xml:space="preserve">Pastatų, patalpų ir aplinkos </w:t>
      </w:r>
      <w:r w:rsidR="00D90A34" w:rsidRPr="005B5627">
        <w:t>gerinimas bei m</w:t>
      </w:r>
      <w:r w:rsidR="00960594" w:rsidRPr="005B5627">
        <w:t>aterialiojo turto įsigijimas.</w:t>
      </w:r>
      <w:r w:rsidR="00D77681" w:rsidRPr="005B5627">
        <w:t xml:space="preserve"> </w:t>
      </w:r>
      <w:r w:rsidR="00B67E63" w:rsidRPr="005B5627">
        <w:rPr>
          <w:bCs/>
          <w:szCs w:val="20"/>
        </w:rPr>
        <w:t xml:space="preserve"> </w:t>
      </w:r>
    </w:p>
    <w:p w14:paraId="44BD4CFB" w14:textId="7BF9CD1C" w:rsidR="00741FED" w:rsidRPr="00741FED" w:rsidRDefault="00741FED" w:rsidP="00186B8F">
      <w:pPr>
        <w:ind w:firstLine="1134"/>
        <w:jc w:val="both"/>
      </w:pPr>
      <w:r w:rsidRPr="00741FED">
        <w:t>Buvo atnaujinta Liudviko Rėzos kultūros centro istorinė ekspozicija: nuskanuoti eksponatai, pagaminti stendai, įrengta nauja apšvietimo sistema.</w:t>
      </w:r>
    </w:p>
    <w:p w14:paraId="1F28813B" w14:textId="46245F85" w:rsidR="00741FED" w:rsidRPr="00741FED" w:rsidRDefault="004177A8" w:rsidP="00186B8F">
      <w:pPr>
        <w:ind w:firstLine="1134"/>
        <w:jc w:val="both"/>
      </w:pPr>
      <w:r>
        <w:t>B</w:t>
      </w:r>
      <w:r w:rsidR="00741FED" w:rsidRPr="00741FED">
        <w:t xml:space="preserve">uvo pakeistos ar restauruotos </w:t>
      </w:r>
      <w:r w:rsidRPr="00741FED">
        <w:t xml:space="preserve">L. Rėzos g. 8B pastato </w:t>
      </w:r>
      <w:r w:rsidR="00741FED" w:rsidRPr="00741FED">
        <w:t xml:space="preserve">medinės dalys, pakeistos </w:t>
      </w:r>
      <w:proofErr w:type="spellStart"/>
      <w:r w:rsidR="00741FED" w:rsidRPr="00741FED">
        <w:t>vėjalentės</w:t>
      </w:r>
      <w:proofErr w:type="spellEnd"/>
      <w:r w:rsidR="00741FED" w:rsidRPr="00741FED">
        <w:t>, suremontuot</w:t>
      </w:r>
      <w:r w:rsidR="00741FED">
        <w:t>i</w:t>
      </w:r>
      <w:r w:rsidR="00741FED" w:rsidRPr="00741FED">
        <w:t xml:space="preserve"> liet</w:t>
      </w:r>
      <w:r w:rsidR="00741FED">
        <w:t>vamzdžiai</w:t>
      </w:r>
      <w:r w:rsidR="00741FED" w:rsidRPr="00741FED">
        <w:t>, restauruota</w:t>
      </w:r>
      <w:r>
        <w:t>s</w:t>
      </w:r>
      <w:r w:rsidR="00741FED" w:rsidRPr="00741FED">
        <w:t xml:space="preserve"> </w:t>
      </w:r>
      <w:r>
        <w:t>prieangis</w:t>
      </w:r>
      <w:r w:rsidR="00741FED" w:rsidRPr="00741FED">
        <w:t xml:space="preserve">, sutvirtintas ir išlygintas akmeninis grindinys. </w:t>
      </w:r>
      <w:r w:rsidR="00741FED">
        <w:t xml:space="preserve">Suremontuota vasaros estrada: pakeistas estrados denginio stogas, nudažytos metalinės konstrukcijos, tvora, sumontuoti nauji vartai, atnaujintos plastikinės kėdės, atnaujinta ir nudažyta scena, atrestauruoti laipteliai. </w:t>
      </w:r>
    </w:p>
    <w:p w14:paraId="6376D862" w14:textId="2B410FC5" w:rsidR="006D054A" w:rsidRDefault="00A923AB" w:rsidP="00186B8F">
      <w:pPr>
        <w:ind w:firstLine="1134"/>
        <w:jc w:val="both"/>
        <w:rPr>
          <w:bCs/>
          <w:szCs w:val="20"/>
        </w:rPr>
      </w:pPr>
      <w:r>
        <w:rPr>
          <w:bCs/>
          <w:szCs w:val="20"/>
        </w:rPr>
        <w:t>Įsigytos mobilios reklaminės nuorodos į koncertų salę</w:t>
      </w:r>
      <w:r w:rsidR="004177A8">
        <w:rPr>
          <w:bCs/>
          <w:szCs w:val="20"/>
        </w:rPr>
        <w:t>, sukurtas</w:t>
      </w:r>
      <w:r w:rsidR="006D054A" w:rsidRPr="00B0239C">
        <w:t xml:space="preserve"> Liudviko Rėzos kultūros centro </w:t>
      </w:r>
      <w:r w:rsidR="004177A8">
        <w:t>internetinis</w:t>
      </w:r>
      <w:r w:rsidR="006D054A" w:rsidRPr="00B0239C">
        <w:t xml:space="preserve"> puslapi</w:t>
      </w:r>
      <w:r w:rsidR="004177A8">
        <w:t>s.</w:t>
      </w:r>
      <w:r w:rsidR="006D054A" w:rsidRPr="00B0239C">
        <w:t xml:space="preserve"> </w:t>
      </w:r>
    </w:p>
    <w:p w14:paraId="2FD5BA5C" w14:textId="77777777" w:rsidR="00D90A34" w:rsidRDefault="00D90A34" w:rsidP="00186B8F">
      <w:pPr>
        <w:tabs>
          <w:tab w:val="left" w:pos="851"/>
        </w:tabs>
        <w:ind w:firstLine="1134"/>
        <w:rPr>
          <w:u w:val="single"/>
        </w:rPr>
      </w:pPr>
    </w:p>
    <w:p w14:paraId="355B2707" w14:textId="646F476E" w:rsidR="006B5703" w:rsidRPr="006B5703" w:rsidRDefault="006B5703" w:rsidP="00186B8F">
      <w:pPr>
        <w:tabs>
          <w:tab w:val="left" w:pos="851"/>
        </w:tabs>
        <w:ind w:firstLine="1134"/>
        <w:rPr>
          <w:u w:val="single"/>
        </w:rPr>
      </w:pPr>
      <w:r w:rsidRPr="00F93ED4">
        <w:rPr>
          <w:u w:val="single"/>
        </w:rPr>
        <w:t>2.3. Pagrindinių</w:t>
      </w:r>
      <w:r w:rsidRPr="006B5703">
        <w:rPr>
          <w:u w:val="single"/>
        </w:rPr>
        <w:t xml:space="preserve"> veiklos rodiklių pokytis lyginant su praėjusiais metais</w:t>
      </w:r>
      <w:r w:rsidR="00F93ED4">
        <w:rPr>
          <w:u w:val="single"/>
        </w:rPr>
        <w:t>.</w:t>
      </w:r>
    </w:p>
    <w:p w14:paraId="447E3E41" w14:textId="2C15C14A" w:rsidR="00107327" w:rsidRPr="00112081" w:rsidRDefault="00615592" w:rsidP="00186B8F">
      <w:pPr>
        <w:pStyle w:val="Betarp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l</w:t>
      </w:r>
      <w:r w:rsidR="00817D98" w:rsidRPr="00F93ED4">
        <w:rPr>
          <w:rFonts w:ascii="Times New Roman" w:hAnsi="Times New Roman" w:cs="Times New Roman"/>
          <w:sz w:val="24"/>
          <w:szCs w:val="24"/>
        </w:rPr>
        <w:t xml:space="preserve">ankytojų </w:t>
      </w:r>
      <w:r w:rsidR="0024766E" w:rsidRPr="00F93ED4">
        <w:rPr>
          <w:rFonts w:ascii="Times New Roman" w:hAnsi="Times New Roman" w:cs="Times New Roman"/>
          <w:sz w:val="24"/>
          <w:szCs w:val="24"/>
        </w:rPr>
        <w:t xml:space="preserve">ir dalyvių </w:t>
      </w:r>
      <w:r w:rsidR="00817D98" w:rsidRPr="00F93ED4">
        <w:rPr>
          <w:rFonts w:ascii="Times New Roman" w:hAnsi="Times New Roman" w:cs="Times New Roman"/>
          <w:sz w:val="24"/>
          <w:szCs w:val="24"/>
        </w:rPr>
        <w:t>skaičius</w:t>
      </w:r>
      <w:r w:rsidR="00817D98" w:rsidRPr="00F76258">
        <w:rPr>
          <w:rFonts w:ascii="Times New Roman" w:hAnsi="Times New Roman" w:cs="Times New Roman"/>
          <w:sz w:val="24"/>
          <w:szCs w:val="24"/>
        </w:rPr>
        <w:t xml:space="preserve">: </w:t>
      </w:r>
      <w:r w:rsidR="00107327" w:rsidRPr="007D2781">
        <w:rPr>
          <w:rFonts w:ascii="Times New Roman" w:hAnsi="Times New Roman" w:cs="Times New Roman"/>
          <w:sz w:val="24"/>
          <w:szCs w:val="24"/>
        </w:rPr>
        <w:t xml:space="preserve">2020 m. – </w:t>
      </w:r>
      <w:r w:rsidR="007D2781" w:rsidRPr="007D2781">
        <w:rPr>
          <w:rFonts w:ascii="Times New Roman" w:hAnsi="Times New Roman" w:cs="Times New Roman"/>
          <w:sz w:val="24"/>
          <w:szCs w:val="24"/>
        </w:rPr>
        <w:t>11180</w:t>
      </w:r>
      <w:r w:rsidR="00727B97">
        <w:rPr>
          <w:rFonts w:ascii="Times New Roman" w:hAnsi="Times New Roman" w:cs="Times New Roman"/>
          <w:sz w:val="24"/>
          <w:szCs w:val="24"/>
        </w:rPr>
        <w:t xml:space="preserve">, 2021 m. </w:t>
      </w:r>
      <w:r w:rsidR="002D2941">
        <w:rPr>
          <w:rFonts w:ascii="Times New Roman" w:hAnsi="Times New Roman" w:cs="Times New Roman"/>
          <w:sz w:val="24"/>
          <w:szCs w:val="24"/>
        </w:rPr>
        <w:t>–</w:t>
      </w:r>
      <w:r w:rsidR="00727B97">
        <w:rPr>
          <w:rFonts w:ascii="Times New Roman" w:hAnsi="Times New Roman" w:cs="Times New Roman"/>
          <w:sz w:val="24"/>
          <w:szCs w:val="24"/>
        </w:rPr>
        <w:t xml:space="preserve"> </w:t>
      </w:r>
      <w:r w:rsidR="002D2941">
        <w:rPr>
          <w:rFonts w:ascii="Times New Roman" w:hAnsi="Times New Roman" w:cs="Times New Roman"/>
          <w:sz w:val="24"/>
          <w:szCs w:val="24"/>
        </w:rPr>
        <w:t>21230 (</w:t>
      </w:r>
      <w:r w:rsidR="00AD3E6B">
        <w:rPr>
          <w:rFonts w:ascii="Times New Roman" w:hAnsi="Times New Roman" w:cs="Times New Roman"/>
          <w:sz w:val="24"/>
          <w:szCs w:val="24"/>
        </w:rPr>
        <w:t xml:space="preserve">kartu su </w:t>
      </w:r>
      <w:r w:rsidR="002D2941">
        <w:rPr>
          <w:rFonts w:ascii="Times New Roman" w:hAnsi="Times New Roman" w:cs="Times New Roman"/>
          <w:sz w:val="24"/>
          <w:szCs w:val="24"/>
        </w:rPr>
        <w:t>nuotolinių renginių peržiūr</w:t>
      </w:r>
      <w:r w:rsidR="00AD3E6B">
        <w:rPr>
          <w:rFonts w:ascii="Times New Roman" w:hAnsi="Times New Roman" w:cs="Times New Roman"/>
          <w:sz w:val="24"/>
          <w:szCs w:val="24"/>
        </w:rPr>
        <w:t>omis</w:t>
      </w:r>
      <w:r w:rsidR="002D2941">
        <w:rPr>
          <w:rFonts w:ascii="Times New Roman" w:hAnsi="Times New Roman" w:cs="Times New Roman"/>
          <w:sz w:val="24"/>
          <w:szCs w:val="24"/>
        </w:rPr>
        <w:t>)</w:t>
      </w:r>
      <w:r w:rsidR="009A7C8A">
        <w:rPr>
          <w:rFonts w:ascii="Times New Roman" w:hAnsi="Times New Roman" w:cs="Times New Roman"/>
          <w:sz w:val="24"/>
          <w:szCs w:val="24"/>
        </w:rPr>
        <w:t xml:space="preserve">, </w:t>
      </w:r>
      <w:r w:rsidR="009A7C8A" w:rsidRPr="00112081">
        <w:rPr>
          <w:rFonts w:ascii="Times New Roman" w:hAnsi="Times New Roman" w:cs="Times New Roman"/>
          <w:sz w:val="24"/>
          <w:szCs w:val="24"/>
        </w:rPr>
        <w:t xml:space="preserve">2022 m. </w:t>
      </w:r>
      <w:r w:rsidR="00F02157">
        <w:rPr>
          <w:rFonts w:ascii="Times New Roman" w:hAnsi="Times New Roman" w:cs="Times New Roman"/>
          <w:sz w:val="24"/>
          <w:szCs w:val="24"/>
        </w:rPr>
        <w:t>–</w:t>
      </w:r>
      <w:r w:rsidR="009A7C8A" w:rsidRPr="00112081">
        <w:rPr>
          <w:rFonts w:ascii="Times New Roman" w:hAnsi="Times New Roman" w:cs="Times New Roman"/>
          <w:sz w:val="24"/>
          <w:szCs w:val="24"/>
        </w:rPr>
        <w:t xml:space="preserve"> </w:t>
      </w:r>
      <w:r w:rsidR="00112081" w:rsidRPr="00112081">
        <w:rPr>
          <w:rFonts w:ascii="Times New Roman" w:hAnsi="Times New Roman" w:cs="Times New Roman"/>
          <w:sz w:val="24"/>
          <w:szCs w:val="24"/>
        </w:rPr>
        <w:t>1</w:t>
      </w:r>
      <w:r w:rsidR="00DC7C74">
        <w:rPr>
          <w:rFonts w:ascii="Times New Roman" w:hAnsi="Times New Roman" w:cs="Times New Roman"/>
          <w:sz w:val="24"/>
          <w:szCs w:val="24"/>
        </w:rPr>
        <w:t>3</w:t>
      </w:r>
      <w:r w:rsidR="00112081" w:rsidRPr="00112081">
        <w:rPr>
          <w:rFonts w:ascii="Times New Roman" w:hAnsi="Times New Roman" w:cs="Times New Roman"/>
          <w:sz w:val="24"/>
          <w:szCs w:val="24"/>
        </w:rPr>
        <w:t>559</w:t>
      </w:r>
      <w:r w:rsidR="00F02157">
        <w:rPr>
          <w:rFonts w:ascii="Times New Roman" w:hAnsi="Times New Roman" w:cs="Times New Roman"/>
          <w:sz w:val="24"/>
          <w:szCs w:val="24"/>
        </w:rPr>
        <w:t>.</w:t>
      </w:r>
    </w:p>
    <w:p w14:paraId="3A271762" w14:textId="77777777" w:rsidR="00B741BF" w:rsidRPr="00112081" w:rsidRDefault="00B741BF" w:rsidP="00186B8F">
      <w:pPr>
        <w:pStyle w:val="Betarp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854" w:type="dxa"/>
        <w:tblLook w:val="04A0" w:firstRow="1" w:lastRow="0" w:firstColumn="1" w:lastColumn="0" w:noHBand="0" w:noVBand="1"/>
      </w:tblPr>
      <w:tblGrid>
        <w:gridCol w:w="6658"/>
        <w:gridCol w:w="1108"/>
        <w:gridCol w:w="1044"/>
        <w:gridCol w:w="1044"/>
      </w:tblGrid>
      <w:tr w:rsidR="009A7C8A" w14:paraId="3F46AD27" w14:textId="3FFA89BF" w:rsidTr="009A7C8A">
        <w:trPr>
          <w:trHeight w:val="541"/>
        </w:trPr>
        <w:tc>
          <w:tcPr>
            <w:tcW w:w="6658" w:type="dxa"/>
            <w:vAlign w:val="center"/>
          </w:tcPr>
          <w:p w14:paraId="08B8E74B" w14:textId="77777777" w:rsidR="009A7C8A" w:rsidRPr="00DD51E7" w:rsidRDefault="009A7C8A" w:rsidP="00727B97">
            <w:pPr>
              <w:jc w:val="center"/>
              <w:rPr>
                <w:b/>
                <w:i/>
                <w:color w:val="000000" w:themeColor="text1"/>
              </w:rPr>
            </w:pPr>
            <w:r w:rsidRPr="00DD51E7">
              <w:rPr>
                <w:b/>
                <w:i/>
                <w:color w:val="000000" w:themeColor="text1"/>
              </w:rPr>
              <w:t>Renginiai</w:t>
            </w:r>
          </w:p>
        </w:tc>
        <w:tc>
          <w:tcPr>
            <w:tcW w:w="1108" w:type="dxa"/>
            <w:vAlign w:val="center"/>
          </w:tcPr>
          <w:p w14:paraId="500896BE" w14:textId="5E721F7E" w:rsidR="009A7C8A" w:rsidRPr="00094EAD" w:rsidRDefault="009A7C8A" w:rsidP="00727B97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2020 m.</w:t>
            </w:r>
          </w:p>
        </w:tc>
        <w:tc>
          <w:tcPr>
            <w:tcW w:w="1044" w:type="dxa"/>
            <w:vAlign w:val="center"/>
          </w:tcPr>
          <w:p w14:paraId="388DCFCF" w14:textId="6F69F87C" w:rsidR="009A7C8A" w:rsidRPr="00094EAD" w:rsidRDefault="009A7C8A" w:rsidP="00727B97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2021 m.</w:t>
            </w:r>
          </w:p>
        </w:tc>
        <w:tc>
          <w:tcPr>
            <w:tcW w:w="1044" w:type="dxa"/>
            <w:vAlign w:val="center"/>
          </w:tcPr>
          <w:p w14:paraId="09833743" w14:textId="70373D07" w:rsidR="009A7C8A" w:rsidRDefault="009A7C8A" w:rsidP="009A7C8A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2022 m.</w:t>
            </w:r>
          </w:p>
        </w:tc>
      </w:tr>
      <w:tr w:rsidR="009A7C8A" w14:paraId="44830DB9" w14:textId="09EBB4C6" w:rsidTr="009A7C8A">
        <w:tc>
          <w:tcPr>
            <w:tcW w:w="6658" w:type="dxa"/>
          </w:tcPr>
          <w:p w14:paraId="156D74D5" w14:textId="77777777" w:rsidR="009A7C8A" w:rsidRPr="009C1403" w:rsidRDefault="009A7C8A" w:rsidP="00727B97">
            <w:pPr>
              <w:ind w:left="720" w:hanging="694"/>
            </w:pPr>
            <w:r w:rsidRPr="009C1403">
              <w:t xml:space="preserve">Profesionalių menininkų parodos  </w:t>
            </w:r>
          </w:p>
        </w:tc>
        <w:tc>
          <w:tcPr>
            <w:tcW w:w="1108" w:type="dxa"/>
          </w:tcPr>
          <w:p w14:paraId="31CA631E" w14:textId="5B2F1996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044" w:type="dxa"/>
          </w:tcPr>
          <w:p w14:paraId="2327C3AE" w14:textId="6E35AFCC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044" w:type="dxa"/>
          </w:tcPr>
          <w:p w14:paraId="3282C295" w14:textId="295E1557" w:rsidR="009A7C8A" w:rsidRDefault="00F0215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9A7C8A" w14:paraId="09BF9F7D" w14:textId="5D6F9FE0" w:rsidTr="009A7C8A">
        <w:tc>
          <w:tcPr>
            <w:tcW w:w="6658" w:type="dxa"/>
          </w:tcPr>
          <w:p w14:paraId="72B24167" w14:textId="77777777" w:rsidR="009A7C8A" w:rsidRPr="009C1403" w:rsidRDefault="009A7C8A" w:rsidP="00727B97">
            <w:pPr>
              <w:ind w:left="27" w:hanging="1"/>
            </w:pPr>
            <w:r w:rsidRPr="009C1403">
              <w:t xml:space="preserve">Profesionalių menininkų koncertai (klasikinės, džiazo muzikos) </w:t>
            </w:r>
          </w:p>
        </w:tc>
        <w:tc>
          <w:tcPr>
            <w:tcW w:w="1108" w:type="dxa"/>
            <w:vAlign w:val="center"/>
          </w:tcPr>
          <w:p w14:paraId="62AA6129" w14:textId="38F57027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044" w:type="dxa"/>
            <w:vAlign w:val="center"/>
          </w:tcPr>
          <w:p w14:paraId="3B840C65" w14:textId="68157B18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044" w:type="dxa"/>
          </w:tcPr>
          <w:p w14:paraId="1E5534BC" w14:textId="63EAB9DD" w:rsidR="009A7C8A" w:rsidRDefault="00F0215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9A7C8A" w14:paraId="6D3F9A59" w14:textId="45D4DA67" w:rsidTr="009A7C8A">
        <w:tc>
          <w:tcPr>
            <w:tcW w:w="6658" w:type="dxa"/>
          </w:tcPr>
          <w:p w14:paraId="17563350" w14:textId="77777777" w:rsidR="009A7C8A" w:rsidRPr="009C1403" w:rsidRDefault="009A7C8A" w:rsidP="00727B97">
            <w:pPr>
              <w:ind w:left="720" w:hanging="694"/>
            </w:pPr>
            <w:r w:rsidRPr="009C1403">
              <w:t xml:space="preserve">Profesionalių menininkų spektakliai </w:t>
            </w:r>
          </w:p>
        </w:tc>
        <w:tc>
          <w:tcPr>
            <w:tcW w:w="1108" w:type="dxa"/>
          </w:tcPr>
          <w:p w14:paraId="6406A2E1" w14:textId="3ADC47C8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 w:rsidRPr="007D2781">
              <w:t>2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044" w:type="dxa"/>
          </w:tcPr>
          <w:p w14:paraId="60FB40AE" w14:textId="1B202ED3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44" w:type="dxa"/>
          </w:tcPr>
          <w:p w14:paraId="11CB6D8C" w14:textId="3EE94267" w:rsidR="009A7C8A" w:rsidRDefault="00F0215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9A7C8A" w14:paraId="32F9CCCB" w14:textId="44365C51" w:rsidTr="009A7C8A">
        <w:tc>
          <w:tcPr>
            <w:tcW w:w="6658" w:type="dxa"/>
          </w:tcPr>
          <w:p w14:paraId="3C112791" w14:textId="77777777" w:rsidR="009A7C8A" w:rsidRPr="009C1403" w:rsidRDefault="009A7C8A" w:rsidP="00727B97">
            <w:pPr>
              <w:ind w:firstLine="26"/>
            </w:pPr>
            <w:r w:rsidRPr="009C1403">
              <w:t xml:space="preserve">Mėgėjų meno kolektyvų koncertai, spektakliai </w:t>
            </w:r>
          </w:p>
        </w:tc>
        <w:tc>
          <w:tcPr>
            <w:tcW w:w="1108" w:type="dxa"/>
            <w:vAlign w:val="center"/>
          </w:tcPr>
          <w:p w14:paraId="34E3B617" w14:textId="2FBAA5AA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44" w:type="dxa"/>
            <w:vAlign w:val="center"/>
          </w:tcPr>
          <w:p w14:paraId="7927BA6B" w14:textId="5929B747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044" w:type="dxa"/>
          </w:tcPr>
          <w:p w14:paraId="74805BB3" w14:textId="21D240F1" w:rsidR="009A7C8A" w:rsidRDefault="009546A6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9A7C8A" w14:paraId="694A93EF" w14:textId="7B4ADEC8" w:rsidTr="009A7C8A">
        <w:tc>
          <w:tcPr>
            <w:tcW w:w="6658" w:type="dxa"/>
          </w:tcPr>
          <w:p w14:paraId="34325406" w14:textId="77777777" w:rsidR="009A7C8A" w:rsidRPr="009C1403" w:rsidRDefault="009A7C8A" w:rsidP="00727B97">
            <w:pPr>
              <w:ind w:left="720" w:hanging="694"/>
            </w:pPr>
            <w:r w:rsidRPr="009C1403">
              <w:t xml:space="preserve">Mėgėjų meno kolektyvų išvykos </w:t>
            </w:r>
          </w:p>
        </w:tc>
        <w:tc>
          <w:tcPr>
            <w:tcW w:w="1108" w:type="dxa"/>
          </w:tcPr>
          <w:p w14:paraId="466D747F" w14:textId="267234B7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44" w:type="dxa"/>
          </w:tcPr>
          <w:p w14:paraId="09CE4093" w14:textId="32A60931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44" w:type="dxa"/>
          </w:tcPr>
          <w:p w14:paraId="02518922" w14:textId="15A55192" w:rsidR="009A7C8A" w:rsidRDefault="00F0215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9A7C8A" w14:paraId="7EA6F715" w14:textId="0D06952D" w:rsidTr="009A7C8A">
        <w:tc>
          <w:tcPr>
            <w:tcW w:w="6658" w:type="dxa"/>
          </w:tcPr>
          <w:p w14:paraId="6D1A35A0" w14:textId="77777777" w:rsidR="009A7C8A" w:rsidRPr="009C1403" w:rsidRDefault="009A7C8A" w:rsidP="00727B97">
            <w:pPr>
              <w:ind w:left="720" w:hanging="694"/>
            </w:pPr>
            <w:r w:rsidRPr="009C1403">
              <w:t xml:space="preserve">Tautodailės parodos </w:t>
            </w:r>
          </w:p>
        </w:tc>
        <w:tc>
          <w:tcPr>
            <w:tcW w:w="1108" w:type="dxa"/>
          </w:tcPr>
          <w:p w14:paraId="5679683C" w14:textId="065D0EAD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t>3</w:t>
            </w:r>
          </w:p>
        </w:tc>
        <w:tc>
          <w:tcPr>
            <w:tcW w:w="1044" w:type="dxa"/>
          </w:tcPr>
          <w:p w14:paraId="21883A5B" w14:textId="1CA60F49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44" w:type="dxa"/>
          </w:tcPr>
          <w:p w14:paraId="50959F30" w14:textId="023713F4" w:rsidR="009A7C8A" w:rsidRDefault="00F0215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9A7C8A" w14:paraId="358E324C" w14:textId="1708DBFB" w:rsidTr="009A7C8A">
        <w:tc>
          <w:tcPr>
            <w:tcW w:w="6658" w:type="dxa"/>
          </w:tcPr>
          <w:p w14:paraId="6661D271" w14:textId="77777777" w:rsidR="009A7C8A" w:rsidRPr="009C1403" w:rsidRDefault="009A7C8A" w:rsidP="00727B97">
            <w:pPr>
              <w:ind w:left="720" w:hanging="694"/>
            </w:pPr>
            <w:r w:rsidRPr="009C1403">
              <w:t>Edukaciniai renginiai</w:t>
            </w:r>
            <w:r>
              <w:t>, paskaitos</w:t>
            </w:r>
            <w:r w:rsidRPr="009C1403">
              <w:t xml:space="preserve"> </w:t>
            </w:r>
          </w:p>
        </w:tc>
        <w:tc>
          <w:tcPr>
            <w:tcW w:w="1108" w:type="dxa"/>
          </w:tcPr>
          <w:p w14:paraId="5071F25E" w14:textId="3B08AD2F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t>21</w:t>
            </w:r>
          </w:p>
        </w:tc>
        <w:tc>
          <w:tcPr>
            <w:tcW w:w="1044" w:type="dxa"/>
          </w:tcPr>
          <w:p w14:paraId="51D335F5" w14:textId="0FA3C7BB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044" w:type="dxa"/>
          </w:tcPr>
          <w:p w14:paraId="49EBF7C9" w14:textId="5C48F29E" w:rsidR="009A7C8A" w:rsidRDefault="00F0215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</w:tr>
      <w:tr w:rsidR="009A7C8A" w14:paraId="016B1543" w14:textId="7C8DBE6C" w:rsidTr="009A7C8A">
        <w:tc>
          <w:tcPr>
            <w:tcW w:w="6658" w:type="dxa"/>
          </w:tcPr>
          <w:p w14:paraId="2B2C68CC" w14:textId="77777777" w:rsidR="009A7C8A" w:rsidRPr="009C1403" w:rsidRDefault="009A7C8A" w:rsidP="00727B97">
            <w:pPr>
              <w:ind w:left="720" w:hanging="694"/>
            </w:pPr>
            <w:r w:rsidRPr="009C1403">
              <w:t xml:space="preserve">Kino filmai </w:t>
            </w:r>
          </w:p>
        </w:tc>
        <w:tc>
          <w:tcPr>
            <w:tcW w:w="1108" w:type="dxa"/>
          </w:tcPr>
          <w:p w14:paraId="4B264A1E" w14:textId="56E8AF9A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t xml:space="preserve">15 </w:t>
            </w:r>
          </w:p>
        </w:tc>
        <w:tc>
          <w:tcPr>
            <w:tcW w:w="1044" w:type="dxa"/>
          </w:tcPr>
          <w:p w14:paraId="61BD361F" w14:textId="06C6ACBD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44" w:type="dxa"/>
          </w:tcPr>
          <w:p w14:paraId="64CF1E5B" w14:textId="75908C0F" w:rsidR="009A7C8A" w:rsidRDefault="00F0215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9A7C8A" w14:paraId="560C3694" w14:textId="78CC8343" w:rsidTr="009A7C8A">
        <w:tc>
          <w:tcPr>
            <w:tcW w:w="6658" w:type="dxa"/>
          </w:tcPr>
          <w:p w14:paraId="041B4F76" w14:textId="77777777" w:rsidR="009A7C8A" w:rsidRPr="009C1403" w:rsidRDefault="009A7C8A" w:rsidP="00727B97">
            <w:pPr>
              <w:ind w:left="720" w:hanging="694"/>
            </w:pPr>
            <w:r w:rsidRPr="009C1403">
              <w:t xml:space="preserve">Pramoginės muzikos koncertai </w:t>
            </w:r>
          </w:p>
        </w:tc>
        <w:tc>
          <w:tcPr>
            <w:tcW w:w="1108" w:type="dxa"/>
          </w:tcPr>
          <w:p w14:paraId="7D04CFAD" w14:textId="37A58462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t>7</w:t>
            </w:r>
          </w:p>
        </w:tc>
        <w:tc>
          <w:tcPr>
            <w:tcW w:w="1044" w:type="dxa"/>
          </w:tcPr>
          <w:p w14:paraId="26C4041D" w14:textId="6C723E93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44" w:type="dxa"/>
          </w:tcPr>
          <w:p w14:paraId="58D4AB5B" w14:textId="455A1489" w:rsidR="009A7C8A" w:rsidRDefault="00F0215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9A7C8A" w14:paraId="632E4230" w14:textId="71BEB260" w:rsidTr="009A7C8A">
        <w:tc>
          <w:tcPr>
            <w:tcW w:w="6658" w:type="dxa"/>
          </w:tcPr>
          <w:p w14:paraId="2D96B3FE" w14:textId="77777777" w:rsidR="009A7C8A" w:rsidRPr="009C1403" w:rsidRDefault="009A7C8A" w:rsidP="00727B97">
            <w:pPr>
              <w:ind w:left="720" w:hanging="694"/>
            </w:pPr>
            <w:r w:rsidRPr="009C1403">
              <w:t xml:space="preserve">Kiti renginiai </w:t>
            </w:r>
          </w:p>
        </w:tc>
        <w:tc>
          <w:tcPr>
            <w:tcW w:w="1108" w:type="dxa"/>
          </w:tcPr>
          <w:p w14:paraId="6639A19F" w14:textId="63D46A7B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t>61</w:t>
            </w:r>
          </w:p>
        </w:tc>
        <w:tc>
          <w:tcPr>
            <w:tcW w:w="1044" w:type="dxa"/>
          </w:tcPr>
          <w:p w14:paraId="0983E427" w14:textId="4C3BE52A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</w:t>
            </w:r>
          </w:p>
        </w:tc>
        <w:tc>
          <w:tcPr>
            <w:tcW w:w="1044" w:type="dxa"/>
          </w:tcPr>
          <w:p w14:paraId="3BCDF16E" w14:textId="7AB526FB" w:rsidR="009A7C8A" w:rsidRDefault="00F0215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</w:tr>
      <w:tr w:rsidR="009A7C8A" w14:paraId="32629B4B" w14:textId="66B3D9CE" w:rsidTr="009A7C8A">
        <w:tc>
          <w:tcPr>
            <w:tcW w:w="6658" w:type="dxa"/>
          </w:tcPr>
          <w:p w14:paraId="00AE091A" w14:textId="77777777" w:rsidR="009A7C8A" w:rsidRPr="009C1403" w:rsidRDefault="009A7C8A" w:rsidP="00727B97">
            <w:pPr>
              <w:ind w:left="720" w:hanging="694"/>
            </w:pPr>
            <w:r>
              <w:t>Ekskursijos</w:t>
            </w:r>
          </w:p>
        </w:tc>
        <w:tc>
          <w:tcPr>
            <w:tcW w:w="1108" w:type="dxa"/>
          </w:tcPr>
          <w:p w14:paraId="5BE45234" w14:textId="6705EA71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t>18</w:t>
            </w:r>
          </w:p>
        </w:tc>
        <w:tc>
          <w:tcPr>
            <w:tcW w:w="1044" w:type="dxa"/>
          </w:tcPr>
          <w:p w14:paraId="2F9FDFDF" w14:textId="348CC66C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044" w:type="dxa"/>
          </w:tcPr>
          <w:p w14:paraId="1CB7B3AB" w14:textId="6D271CF4" w:rsidR="009A7C8A" w:rsidRDefault="00F0215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</w:tr>
      <w:tr w:rsidR="009A7C8A" w14:paraId="4819E861" w14:textId="4E7455F3" w:rsidTr="009A7C8A">
        <w:tc>
          <w:tcPr>
            <w:tcW w:w="6658" w:type="dxa"/>
          </w:tcPr>
          <w:p w14:paraId="65B7403B" w14:textId="77777777" w:rsidR="009A7C8A" w:rsidRPr="009C1403" w:rsidRDefault="009A7C8A" w:rsidP="00727B97">
            <w:pPr>
              <w:ind w:left="720" w:hanging="694"/>
            </w:pPr>
            <w:r>
              <w:t>Nuotoliniai renginiai</w:t>
            </w:r>
          </w:p>
        </w:tc>
        <w:tc>
          <w:tcPr>
            <w:tcW w:w="1108" w:type="dxa"/>
          </w:tcPr>
          <w:p w14:paraId="46E46DEF" w14:textId="390BB382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t>12</w:t>
            </w:r>
          </w:p>
        </w:tc>
        <w:tc>
          <w:tcPr>
            <w:tcW w:w="1044" w:type="dxa"/>
          </w:tcPr>
          <w:p w14:paraId="42280CD9" w14:textId="7120DF66" w:rsidR="009A7C8A" w:rsidRPr="009C1403" w:rsidRDefault="009A7C8A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044" w:type="dxa"/>
          </w:tcPr>
          <w:p w14:paraId="60123945" w14:textId="108EAF49" w:rsidR="009A7C8A" w:rsidRDefault="00F0215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A7C8A" w14:paraId="646E893F" w14:textId="362BFEC8" w:rsidTr="009A7C8A">
        <w:tc>
          <w:tcPr>
            <w:tcW w:w="6658" w:type="dxa"/>
          </w:tcPr>
          <w:p w14:paraId="24F4B0EC" w14:textId="4F2E53C4" w:rsidR="009A7C8A" w:rsidRPr="00DD51E7" w:rsidRDefault="009A7C8A" w:rsidP="00727B97">
            <w:pPr>
              <w:ind w:left="720" w:hanging="694"/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DD51E7">
              <w:rPr>
                <w:b/>
              </w:rPr>
              <w:t>iso</w:t>
            </w:r>
          </w:p>
        </w:tc>
        <w:tc>
          <w:tcPr>
            <w:tcW w:w="1108" w:type="dxa"/>
          </w:tcPr>
          <w:p w14:paraId="57E52B47" w14:textId="10F25699" w:rsidR="009A7C8A" w:rsidRDefault="009A7C8A" w:rsidP="00727B97">
            <w:pPr>
              <w:jc w:val="center"/>
              <w:rPr>
                <w:color w:val="000000" w:themeColor="text1"/>
              </w:rPr>
            </w:pPr>
            <w:r>
              <w:t>179</w:t>
            </w:r>
          </w:p>
        </w:tc>
        <w:tc>
          <w:tcPr>
            <w:tcW w:w="1044" w:type="dxa"/>
          </w:tcPr>
          <w:p w14:paraId="5A3425D9" w14:textId="7A50C723" w:rsidR="009A7C8A" w:rsidRDefault="009A7C8A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217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1044" w:type="dxa"/>
          </w:tcPr>
          <w:p w14:paraId="50DA1C04" w14:textId="0FAD1B73" w:rsidR="009A7C8A" w:rsidRDefault="00F0215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9546A6">
              <w:rPr>
                <w:color w:val="000000" w:themeColor="text1"/>
              </w:rPr>
              <w:t>60</w:t>
            </w:r>
            <w:r>
              <w:rPr>
                <w:color w:val="000000" w:themeColor="text1"/>
              </w:rPr>
              <w:t xml:space="preserve"> </w:t>
            </w:r>
          </w:p>
        </w:tc>
      </w:tr>
    </w:tbl>
    <w:p w14:paraId="7F94120C" w14:textId="77777777" w:rsidR="00116E47" w:rsidRDefault="00116E47" w:rsidP="008C4F17">
      <w:pPr>
        <w:ind w:firstLine="1134"/>
        <w:jc w:val="both"/>
      </w:pPr>
    </w:p>
    <w:p w14:paraId="29E7F134" w14:textId="7C713AE5" w:rsidR="00762BE6" w:rsidRDefault="000B358E" w:rsidP="008C4F17">
      <w:pPr>
        <w:autoSpaceDE w:val="0"/>
        <w:autoSpaceDN w:val="0"/>
        <w:adjustRightInd w:val="0"/>
        <w:ind w:firstLine="1134"/>
        <w:jc w:val="both"/>
      </w:pPr>
      <w:r>
        <w:rPr>
          <w:u w:val="single"/>
        </w:rPr>
        <w:t>2.</w:t>
      </w:r>
      <w:r w:rsidR="00C4618A">
        <w:rPr>
          <w:u w:val="single"/>
        </w:rPr>
        <w:t>4</w:t>
      </w:r>
      <w:r>
        <w:rPr>
          <w:u w:val="single"/>
        </w:rPr>
        <w:t xml:space="preserve">. </w:t>
      </w:r>
      <w:r w:rsidR="00F93ED4" w:rsidRPr="000B358E">
        <w:rPr>
          <w:u w:val="single"/>
        </w:rPr>
        <w:t>Vidaus ir išorės problemos ir siūlomi problemų sprendimo būdai</w:t>
      </w:r>
      <w:r w:rsidR="00762BE6">
        <w:rPr>
          <w:u w:val="single"/>
        </w:rPr>
        <w:t>.</w:t>
      </w:r>
      <w:r w:rsidRPr="007B3BE8">
        <w:t xml:space="preserve"> </w:t>
      </w:r>
    </w:p>
    <w:p w14:paraId="424EAFFD" w14:textId="79F2C244" w:rsidR="00663FDD" w:rsidRPr="001F5AE8" w:rsidRDefault="00663FDD" w:rsidP="008C4F17">
      <w:pPr>
        <w:autoSpaceDE w:val="0"/>
        <w:autoSpaceDN w:val="0"/>
        <w:adjustRightInd w:val="0"/>
        <w:ind w:firstLine="1134"/>
        <w:jc w:val="both"/>
      </w:pPr>
      <w:r>
        <w:t xml:space="preserve">Centras atlieka 8 iš 10 Kultūros centrų įstatyme nurodytų funkcijų, savo veikloje remiasi etnine (tradicine) kultūra, regiono bei Juodkrantės savitumu ir išskirtinumu. </w:t>
      </w:r>
      <w:r w:rsidRPr="001F5AE8">
        <w:t>Didėja papildom</w:t>
      </w:r>
      <w:r>
        <w:t>o</w:t>
      </w:r>
      <w:r w:rsidRPr="001F5AE8">
        <w:t xml:space="preserve"> darbo krūviai įgyvendinant kultūros ir meno projektus</w:t>
      </w:r>
      <w:r>
        <w:t>,</w:t>
      </w:r>
      <w:r w:rsidRPr="001F5AE8">
        <w:t xml:space="preserve"> t</w:t>
      </w:r>
      <w:r>
        <w:t>odėl</w:t>
      </w:r>
      <w:r w:rsidRPr="001F5AE8">
        <w:t xml:space="preserve"> reikalingas specialistas, kuris vykdytų mokslinę-kultūrinę veiklą, dirbtų su muziejinėmis vertybėmis istorinėje ekspozicijoje, rašytų projektus, kurtų edukacines programas, dirbtų su Kultūros paso paslauga.</w:t>
      </w:r>
      <w:r>
        <w:t xml:space="preserve"> Planuojame vienam specialistui padidinti krūvį iki pilnos darbo laiko normos šiems darbams atlikti.  </w:t>
      </w:r>
      <w:r w:rsidRPr="001F5AE8">
        <w:t xml:space="preserve"> </w:t>
      </w:r>
    </w:p>
    <w:p w14:paraId="6B7259C5" w14:textId="1EED4B45" w:rsidR="004177A8" w:rsidRPr="00811845" w:rsidRDefault="00663FDD" w:rsidP="008C4F17">
      <w:pPr>
        <w:autoSpaceDE w:val="0"/>
        <w:autoSpaceDN w:val="0"/>
        <w:adjustRightInd w:val="0"/>
        <w:ind w:firstLine="1134"/>
        <w:jc w:val="both"/>
      </w:pPr>
      <w:r>
        <w:t xml:space="preserve">Liudviko Rėzos kultūros centro pastatai, esantys L. Rėzos g. 8B ir L. Rėzos g. 54 </w:t>
      </w:r>
      <w:r w:rsidR="00752753" w:rsidRPr="00EA0BFA">
        <w:t>šild</w:t>
      </w:r>
      <w:r>
        <w:t>omi elektra, yra labai didelės išlaidos už tiekiamą elektros energiją. Tikimės, kad į</w:t>
      </w:r>
      <w:r w:rsidR="004177A8" w:rsidRPr="00811845">
        <w:t>gyvendin</w:t>
      </w:r>
      <w:r>
        <w:t>us</w:t>
      </w:r>
      <w:r w:rsidR="004177A8" w:rsidRPr="00811845">
        <w:t xml:space="preserve"> </w:t>
      </w:r>
      <w:r w:rsidR="004177A8">
        <w:t>p</w:t>
      </w:r>
      <w:r w:rsidR="004177A8" w:rsidRPr="00811845">
        <w:t>rojektą „Liudviko Rėzos kultūros centro 33 kW saulės elektrinės įsigijimas iš saulės parko“</w:t>
      </w:r>
      <w:r>
        <w:t>, bus sumažintos išlaidos pastatų šildymui.</w:t>
      </w:r>
    </w:p>
    <w:p w14:paraId="0939230A" w14:textId="1F1EE49F" w:rsidR="002576BA" w:rsidRPr="00F970B8" w:rsidRDefault="00A74972" w:rsidP="008C4F17">
      <w:pPr>
        <w:autoSpaceDE w:val="0"/>
        <w:autoSpaceDN w:val="0"/>
        <w:adjustRightInd w:val="0"/>
        <w:ind w:firstLine="1134"/>
        <w:jc w:val="both"/>
      </w:pPr>
      <w:r>
        <w:t>Šiuo metu yra labai</w:t>
      </w:r>
      <w:r w:rsidR="00663FDD">
        <w:t xml:space="preserve"> </w:t>
      </w:r>
      <w:r>
        <w:t>intensyvus informacijos srautas, todėl planuojame s</w:t>
      </w:r>
      <w:r w:rsidR="00663FDD" w:rsidRPr="00811845">
        <w:t>tiprinti</w:t>
      </w:r>
      <w:r w:rsidR="00663FDD">
        <w:t xml:space="preserve"> Liudviko Rėzos kultūros centro komunikaciją, teikiamų paslaugų rinkodarą, n</w:t>
      </w:r>
      <w:r w:rsidR="00663FDD" w:rsidRPr="00811845">
        <w:t>uolat atnaujinti puslapį www.lrezoskc.lt</w:t>
      </w:r>
      <w:r>
        <w:t>,</w:t>
      </w:r>
      <w:r w:rsidR="00663FDD" w:rsidRPr="00811845">
        <w:t xml:space="preserve"> socialinių tinklų paskyras</w:t>
      </w:r>
      <w:r>
        <w:t xml:space="preserve">, </w:t>
      </w:r>
      <w:r w:rsidR="002576BA" w:rsidRPr="00F970B8">
        <w:t xml:space="preserve">kitas komunikacines platformas. </w:t>
      </w:r>
    </w:p>
    <w:p w14:paraId="04A981C3" w14:textId="1F537A06" w:rsidR="00B67E63" w:rsidRPr="009F0D16" w:rsidRDefault="000B358E" w:rsidP="008C4F17">
      <w:pPr>
        <w:ind w:firstLine="1134"/>
        <w:jc w:val="both"/>
      </w:pPr>
      <w:r w:rsidRPr="009F0D16">
        <w:t>P</w:t>
      </w:r>
      <w:r w:rsidR="00F74C67" w:rsidRPr="009F0D16">
        <w:t xml:space="preserve">rie koncertų salės </w:t>
      </w:r>
      <w:r w:rsidRPr="009F0D16">
        <w:t xml:space="preserve">ir lauko estrados </w:t>
      </w:r>
      <w:r w:rsidR="00985C92">
        <w:t xml:space="preserve">(L. Rėzos g. 54) </w:t>
      </w:r>
      <w:r w:rsidR="00F74C67" w:rsidRPr="009F0D16">
        <w:t>vasar</w:t>
      </w:r>
      <w:r w:rsidR="008B7499">
        <w:t xml:space="preserve">ą </w:t>
      </w:r>
      <w:r w:rsidR="00F74C67" w:rsidRPr="009F0D16">
        <w:t xml:space="preserve">sudėtingas privažiavimas, </w:t>
      </w:r>
      <w:r w:rsidR="008A07E8" w:rsidRPr="009F0D16">
        <w:t>susiduriama su automobilių statymo</w:t>
      </w:r>
      <w:r w:rsidR="00F74C67" w:rsidRPr="009F0D16">
        <w:t xml:space="preserve"> problema.</w:t>
      </w:r>
      <w:r w:rsidR="00C547BD">
        <w:t xml:space="preserve"> </w:t>
      </w:r>
    </w:p>
    <w:p w14:paraId="555BF064" w14:textId="3F139592" w:rsidR="00996492" w:rsidRDefault="00316F89" w:rsidP="008C4F17">
      <w:pPr>
        <w:tabs>
          <w:tab w:val="left" w:pos="0"/>
        </w:tabs>
        <w:ind w:firstLine="1134"/>
        <w:jc w:val="both"/>
        <w:rPr>
          <w:szCs w:val="20"/>
        </w:rPr>
      </w:pPr>
      <w:r>
        <w:rPr>
          <w:bCs/>
          <w:szCs w:val="20"/>
        </w:rPr>
        <w:tab/>
      </w:r>
    </w:p>
    <w:p w14:paraId="43221DC5" w14:textId="77777777" w:rsidR="00F93ED4" w:rsidRPr="005F0D90" w:rsidRDefault="005F0D90" w:rsidP="008C4F17">
      <w:pPr>
        <w:ind w:firstLine="567"/>
        <w:rPr>
          <w:b/>
        </w:rPr>
      </w:pPr>
      <w:r>
        <w:rPr>
          <w:b/>
        </w:rPr>
        <w:t xml:space="preserve">3. </w:t>
      </w:r>
      <w:r w:rsidR="003964BF" w:rsidRPr="005F0D90">
        <w:rPr>
          <w:b/>
        </w:rPr>
        <w:t>Liudviko Rėzos kultūros centro</w:t>
      </w:r>
      <w:r w:rsidR="00F93ED4" w:rsidRPr="005F0D90">
        <w:rPr>
          <w:b/>
        </w:rPr>
        <w:t xml:space="preserve"> finansinės veiklos ataskaita:</w:t>
      </w:r>
    </w:p>
    <w:p w14:paraId="0EDCE88F" w14:textId="77777777" w:rsidR="00A17BE1" w:rsidRDefault="00A17BE1" w:rsidP="008C4F17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701"/>
        <w:gridCol w:w="1701"/>
        <w:gridCol w:w="2127"/>
      </w:tblGrid>
      <w:tr w:rsidR="002C1809" w:rsidRPr="00A17BE1" w14:paraId="71E7456B" w14:textId="77777777" w:rsidTr="00441501">
        <w:trPr>
          <w:trHeight w:val="381"/>
        </w:trPr>
        <w:tc>
          <w:tcPr>
            <w:tcW w:w="2694" w:type="dxa"/>
            <w:vMerge w:val="restart"/>
            <w:vAlign w:val="center"/>
          </w:tcPr>
          <w:p w14:paraId="2A66F372" w14:textId="56BAFAA8" w:rsidR="002C1809" w:rsidRPr="00390A81" w:rsidRDefault="002C1809" w:rsidP="006D12EC">
            <w:pPr>
              <w:jc w:val="center"/>
              <w:rPr>
                <w:b/>
                <w:i/>
              </w:rPr>
            </w:pPr>
            <w:bookmarkStart w:id="3" w:name="_Hlk93483625"/>
            <w:r w:rsidRPr="00390A81">
              <w:rPr>
                <w:b/>
                <w:i/>
              </w:rPr>
              <w:t>Lėšų pavadinimas</w:t>
            </w:r>
          </w:p>
        </w:tc>
        <w:tc>
          <w:tcPr>
            <w:tcW w:w="4819" w:type="dxa"/>
            <w:gridSpan w:val="3"/>
            <w:vAlign w:val="center"/>
          </w:tcPr>
          <w:p w14:paraId="2BB235A5" w14:textId="064310DF" w:rsidR="002C1809" w:rsidRDefault="002C1809" w:rsidP="006D12EC">
            <w:pPr>
              <w:jc w:val="center"/>
              <w:rPr>
                <w:b/>
                <w:i/>
              </w:rPr>
            </w:pPr>
            <w:r w:rsidRPr="00390A81">
              <w:rPr>
                <w:b/>
                <w:i/>
              </w:rPr>
              <w:t>Lėšų dydis, tūkst. Eur</w:t>
            </w:r>
          </w:p>
        </w:tc>
        <w:tc>
          <w:tcPr>
            <w:tcW w:w="2127" w:type="dxa"/>
            <w:vMerge w:val="restart"/>
            <w:vAlign w:val="center"/>
          </w:tcPr>
          <w:p w14:paraId="6EC0B4DC" w14:textId="2CC22151" w:rsidR="002C1809" w:rsidRPr="00390A81" w:rsidRDefault="002C1809" w:rsidP="006D12EC">
            <w:pPr>
              <w:jc w:val="center"/>
              <w:rPr>
                <w:b/>
                <w:i/>
              </w:rPr>
            </w:pPr>
            <w:r w:rsidRPr="00390A81">
              <w:rPr>
                <w:b/>
                <w:i/>
              </w:rPr>
              <w:t>Panaudojimas</w:t>
            </w:r>
          </w:p>
        </w:tc>
      </w:tr>
      <w:tr w:rsidR="002C1809" w:rsidRPr="00A17BE1" w14:paraId="66FD588D" w14:textId="77777777" w:rsidTr="00441501">
        <w:trPr>
          <w:trHeight w:val="381"/>
        </w:trPr>
        <w:tc>
          <w:tcPr>
            <w:tcW w:w="2694" w:type="dxa"/>
            <w:vMerge/>
            <w:vAlign w:val="center"/>
          </w:tcPr>
          <w:p w14:paraId="13255B41" w14:textId="77777777" w:rsidR="002C1809" w:rsidRPr="00390A81" w:rsidRDefault="002C1809" w:rsidP="006D12EC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vAlign w:val="center"/>
          </w:tcPr>
          <w:p w14:paraId="1B2A9812" w14:textId="77777777" w:rsidR="002C1809" w:rsidRPr="00390A81" w:rsidRDefault="002C1809" w:rsidP="0044150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2020 m.</w:t>
            </w:r>
          </w:p>
        </w:tc>
        <w:tc>
          <w:tcPr>
            <w:tcW w:w="1701" w:type="dxa"/>
            <w:vAlign w:val="center"/>
          </w:tcPr>
          <w:p w14:paraId="4C189AA5" w14:textId="77777777" w:rsidR="002C1809" w:rsidRPr="00390A81" w:rsidRDefault="002C1809" w:rsidP="0044150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2021 m.</w:t>
            </w:r>
          </w:p>
        </w:tc>
        <w:tc>
          <w:tcPr>
            <w:tcW w:w="1701" w:type="dxa"/>
            <w:vAlign w:val="center"/>
          </w:tcPr>
          <w:p w14:paraId="66F176F1" w14:textId="77777777" w:rsidR="002C1809" w:rsidRPr="00390A81" w:rsidRDefault="002C1809" w:rsidP="0044150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2022 m.</w:t>
            </w:r>
          </w:p>
        </w:tc>
        <w:tc>
          <w:tcPr>
            <w:tcW w:w="2127" w:type="dxa"/>
            <w:vMerge/>
            <w:vAlign w:val="center"/>
          </w:tcPr>
          <w:p w14:paraId="586CF4EF" w14:textId="77777777" w:rsidR="002C1809" w:rsidRPr="00390A81" w:rsidRDefault="002C1809" w:rsidP="006D12EC">
            <w:pPr>
              <w:jc w:val="center"/>
              <w:rPr>
                <w:b/>
                <w:i/>
              </w:rPr>
            </w:pPr>
          </w:p>
        </w:tc>
      </w:tr>
      <w:tr w:rsidR="00DA1AF8" w:rsidRPr="00A17BE1" w14:paraId="577EEB3C" w14:textId="77777777" w:rsidTr="00441501">
        <w:tc>
          <w:tcPr>
            <w:tcW w:w="2694" w:type="dxa"/>
            <w:vMerge w:val="restart"/>
            <w:vAlign w:val="center"/>
          </w:tcPr>
          <w:p w14:paraId="203B105C" w14:textId="77777777" w:rsidR="00DA1AF8" w:rsidRPr="00A17BE1" w:rsidRDefault="00DA1AF8" w:rsidP="00441501">
            <w:pPr>
              <w:jc w:val="center"/>
            </w:pPr>
            <w:r w:rsidRPr="00A17BE1">
              <w:t>Savivaldybės biudžeto lėšos</w:t>
            </w:r>
          </w:p>
        </w:tc>
        <w:tc>
          <w:tcPr>
            <w:tcW w:w="1417" w:type="dxa"/>
            <w:vAlign w:val="center"/>
          </w:tcPr>
          <w:p w14:paraId="14EF6BEC" w14:textId="77777777" w:rsidR="00DA1AF8" w:rsidRDefault="00DA1AF8" w:rsidP="006D12EC">
            <w:pPr>
              <w:jc w:val="center"/>
            </w:pPr>
            <w:r>
              <w:t>156,7</w:t>
            </w:r>
          </w:p>
        </w:tc>
        <w:tc>
          <w:tcPr>
            <w:tcW w:w="1701" w:type="dxa"/>
          </w:tcPr>
          <w:p w14:paraId="400BEFB0" w14:textId="77777777" w:rsidR="00DA1AF8" w:rsidRDefault="00DA1AF8" w:rsidP="006D12EC">
            <w:pPr>
              <w:jc w:val="center"/>
            </w:pPr>
            <w:r>
              <w:t>156,2</w:t>
            </w:r>
          </w:p>
        </w:tc>
        <w:tc>
          <w:tcPr>
            <w:tcW w:w="1701" w:type="dxa"/>
            <w:vAlign w:val="center"/>
          </w:tcPr>
          <w:p w14:paraId="24F6FA32" w14:textId="77777777" w:rsidR="00DA1AF8" w:rsidRPr="0037180C" w:rsidRDefault="00DA1AF8" w:rsidP="00441501">
            <w:pPr>
              <w:jc w:val="center"/>
            </w:pPr>
            <w:r>
              <w:t>178,8</w:t>
            </w:r>
          </w:p>
        </w:tc>
        <w:tc>
          <w:tcPr>
            <w:tcW w:w="2127" w:type="dxa"/>
          </w:tcPr>
          <w:p w14:paraId="31E9200A" w14:textId="77777777" w:rsidR="00DA1AF8" w:rsidRPr="00995F2C" w:rsidRDefault="00DA1AF8" w:rsidP="006D12EC">
            <w:pPr>
              <w:rPr>
                <w:sz w:val="20"/>
                <w:szCs w:val="20"/>
              </w:rPr>
            </w:pPr>
            <w:r w:rsidRPr="00995F2C">
              <w:rPr>
                <w:sz w:val="20"/>
                <w:szCs w:val="20"/>
              </w:rPr>
              <w:t>Darbo užmokesčiui</w:t>
            </w:r>
          </w:p>
        </w:tc>
      </w:tr>
      <w:tr w:rsidR="00DA1AF8" w:rsidRPr="00A17BE1" w14:paraId="6CEEEBA5" w14:textId="77777777" w:rsidTr="00441501">
        <w:tc>
          <w:tcPr>
            <w:tcW w:w="2694" w:type="dxa"/>
            <w:vMerge/>
            <w:vAlign w:val="center"/>
          </w:tcPr>
          <w:p w14:paraId="3B134134" w14:textId="77777777" w:rsidR="00DA1AF8" w:rsidRPr="00A17BE1" w:rsidRDefault="00DA1AF8" w:rsidP="0044150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CB92AA6" w14:textId="77777777" w:rsidR="00DA1AF8" w:rsidRPr="001359B6" w:rsidRDefault="00DA1AF8" w:rsidP="006D12EC">
            <w:pPr>
              <w:jc w:val="center"/>
            </w:pPr>
            <w:r>
              <w:t>37,1</w:t>
            </w:r>
          </w:p>
        </w:tc>
        <w:tc>
          <w:tcPr>
            <w:tcW w:w="1701" w:type="dxa"/>
            <w:vAlign w:val="center"/>
          </w:tcPr>
          <w:p w14:paraId="16A61C71" w14:textId="77777777" w:rsidR="00DA1AF8" w:rsidRPr="001359B6" w:rsidRDefault="00DA1AF8" w:rsidP="006D12EC">
            <w:pPr>
              <w:jc w:val="center"/>
            </w:pPr>
            <w:r>
              <w:t>50,8</w:t>
            </w:r>
          </w:p>
        </w:tc>
        <w:tc>
          <w:tcPr>
            <w:tcW w:w="1701" w:type="dxa"/>
            <w:vAlign w:val="center"/>
          </w:tcPr>
          <w:p w14:paraId="7D9DD185" w14:textId="77777777" w:rsidR="00DA1AF8" w:rsidRPr="0037180C" w:rsidRDefault="00DA1AF8" w:rsidP="00441501">
            <w:pPr>
              <w:jc w:val="center"/>
            </w:pPr>
            <w:r>
              <w:t>67,4</w:t>
            </w:r>
          </w:p>
        </w:tc>
        <w:tc>
          <w:tcPr>
            <w:tcW w:w="2127" w:type="dxa"/>
          </w:tcPr>
          <w:p w14:paraId="2A7BDD8B" w14:textId="77777777" w:rsidR="00DA1AF8" w:rsidRPr="00995F2C" w:rsidRDefault="00DA1AF8" w:rsidP="006D12EC">
            <w:pPr>
              <w:rPr>
                <w:sz w:val="20"/>
                <w:szCs w:val="20"/>
              </w:rPr>
            </w:pPr>
            <w:r w:rsidRPr="00995F2C">
              <w:rPr>
                <w:sz w:val="20"/>
                <w:szCs w:val="20"/>
              </w:rPr>
              <w:t>Įstaigos išlaikymui ir socialiniam draudimui</w:t>
            </w:r>
          </w:p>
        </w:tc>
      </w:tr>
      <w:tr w:rsidR="00DA1AF8" w:rsidRPr="00A17BE1" w14:paraId="0C69A64A" w14:textId="77777777" w:rsidTr="00441501">
        <w:tc>
          <w:tcPr>
            <w:tcW w:w="2694" w:type="dxa"/>
            <w:vMerge/>
            <w:vAlign w:val="center"/>
          </w:tcPr>
          <w:p w14:paraId="24D30417" w14:textId="77777777" w:rsidR="00DA1AF8" w:rsidRPr="00A17BE1" w:rsidRDefault="00DA1AF8" w:rsidP="0044150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E50B69A" w14:textId="77777777" w:rsidR="00DA1AF8" w:rsidRPr="00A17BE1" w:rsidRDefault="00DA1AF8" w:rsidP="006D12EC">
            <w:pPr>
              <w:jc w:val="center"/>
            </w:pPr>
            <w:r>
              <w:t>2,0</w:t>
            </w:r>
          </w:p>
        </w:tc>
        <w:tc>
          <w:tcPr>
            <w:tcW w:w="1701" w:type="dxa"/>
            <w:vAlign w:val="center"/>
          </w:tcPr>
          <w:p w14:paraId="097A2065" w14:textId="77777777" w:rsidR="00DA1AF8" w:rsidRPr="00A17BE1" w:rsidRDefault="00DA1AF8" w:rsidP="006D12EC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2D396C21" w14:textId="77777777" w:rsidR="00DA1AF8" w:rsidRPr="0037180C" w:rsidRDefault="00DA1AF8" w:rsidP="00441501">
            <w:pPr>
              <w:jc w:val="center"/>
            </w:pPr>
            <w:r w:rsidRPr="0037180C">
              <w:t>0</w:t>
            </w:r>
          </w:p>
        </w:tc>
        <w:tc>
          <w:tcPr>
            <w:tcW w:w="2127" w:type="dxa"/>
          </w:tcPr>
          <w:p w14:paraId="0EF5F2A0" w14:textId="77777777" w:rsidR="00DA1AF8" w:rsidRPr="00995F2C" w:rsidRDefault="00DA1AF8" w:rsidP="006D12EC">
            <w:pPr>
              <w:rPr>
                <w:sz w:val="20"/>
                <w:szCs w:val="20"/>
              </w:rPr>
            </w:pPr>
            <w:r w:rsidRPr="00995F2C">
              <w:rPr>
                <w:sz w:val="20"/>
                <w:szCs w:val="20"/>
              </w:rPr>
              <w:t>Ilgalaikio turto įsigijimui</w:t>
            </w:r>
          </w:p>
        </w:tc>
      </w:tr>
      <w:tr w:rsidR="00DA1AF8" w:rsidRPr="00A17BE1" w14:paraId="6435148F" w14:textId="77777777" w:rsidTr="00441501">
        <w:trPr>
          <w:trHeight w:val="299"/>
        </w:trPr>
        <w:tc>
          <w:tcPr>
            <w:tcW w:w="2694" w:type="dxa"/>
            <w:vMerge/>
            <w:vAlign w:val="center"/>
          </w:tcPr>
          <w:p w14:paraId="4C1D2745" w14:textId="77777777" w:rsidR="00DA1AF8" w:rsidRPr="00A17BE1" w:rsidRDefault="00DA1AF8" w:rsidP="0044150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578595C" w14:textId="77777777" w:rsidR="00DA1AF8" w:rsidRDefault="00DA1AF8" w:rsidP="006D12EC">
            <w:pPr>
              <w:jc w:val="center"/>
            </w:pPr>
            <w:r>
              <w:t>30,0</w:t>
            </w:r>
          </w:p>
        </w:tc>
        <w:tc>
          <w:tcPr>
            <w:tcW w:w="1701" w:type="dxa"/>
            <w:vAlign w:val="center"/>
          </w:tcPr>
          <w:p w14:paraId="4508E95A" w14:textId="77777777" w:rsidR="00DA1AF8" w:rsidRDefault="00DA1AF8" w:rsidP="006D12EC">
            <w:pPr>
              <w:jc w:val="center"/>
            </w:pPr>
            <w:r>
              <w:t>20,0</w:t>
            </w:r>
          </w:p>
        </w:tc>
        <w:tc>
          <w:tcPr>
            <w:tcW w:w="1701" w:type="dxa"/>
            <w:vAlign w:val="center"/>
          </w:tcPr>
          <w:p w14:paraId="01ECEDC0" w14:textId="77777777" w:rsidR="00DA1AF8" w:rsidRPr="0037180C" w:rsidRDefault="00DA1AF8" w:rsidP="00441501">
            <w:pPr>
              <w:jc w:val="center"/>
            </w:pPr>
            <w:r>
              <w:t>25,0</w:t>
            </w:r>
          </w:p>
        </w:tc>
        <w:tc>
          <w:tcPr>
            <w:tcW w:w="2127" w:type="dxa"/>
          </w:tcPr>
          <w:p w14:paraId="7969A03C" w14:textId="77777777" w:rsidR="00DA1AF8" w:rsidRPr="00995F2C" w:rsidRDefault="00DA1AF8" w:rsidP="006D12EC">
            <w:pPr>
              <w:rPr>
                <w:sz w:val="20"/>
                <w:szCs w:val="20"/>
              </w:rPr>
            </w:pPr>
            <w:r w:rsidRPr="00995F2C">
              <w:rPr>
                <w:sz w:val="20"/>
                <w:szCs w:val="20"/>
              </w:rPr>
              <w:t>Kultūros ir meno renginių organizavimui</w:t>
            </w:r>
          </w:p>
        </w:tc>
      </w:tr>
      <w:tr w:rsidR="00DA1AF8" w:rsidRPr="00A17BE1" w14:paraId="71CE9F0F" w14:textId="77777777" w:rsidTr="00441501">
        <w:tc>
          <w:tcPr>
            <w:tcW w:w="2694" w:type="dxa"/>
            <w:vMerge w:val="restart"/>
            <w:vAlign w:val="center"/>
          </w:tcPr>
          <w:p w14:paraId="63629EF8" w14:textId="77777777" w:rsidR="00DA1AF8" w:rsidRPr="00A17BE1" w:rsidRDefault="00DA1AF8" w:rsidP="00441501">
            <w:pPr>
              <w:jc w:val="center"/>
            </w:pPr>
            <w:r w:rsidRPr="00A17BE1">
              <w:t>Valstybės biudžeto lėšos</w:t>
            </w:r>
            <w:r>
              <w:t xml:space="preserve"> (</w:t>
            </w:r>
            <w:r w:rsidRPr="00390A81">
              <w:t>kultūros darbuotojų darbo užmokesčio didinimui</w:t>
            </w:r>
            <w:r>
              <w:t xml:space="preserve"> ir kitoms išlaidoms)</w:t>
            </w:r>
          </w:p>
        </w:tc>
        <w:tc>
          <w:tcPr>
            <w:tcW w:w="1417" w:type="dxa"/>
            <w:vAlign w:val="center"/>
          </w:tcPr>
          <w:p w14:paraId="597974F2" w14:textId="77777777" w:rsidR="00DA1AF8" w:rsidRDefault="00DA1AF8" w:rsidP="006D12EC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2388547D" w14:textId="77777777" w:rsidR="00DA1AF8" w:rsidRDefault="00DA1AF8" w:rsidP="006D12EC">
            <w:pPr>
              <w:jc w:val="center"/>
            </w:pPr>
            <w:r>
              <w:t>1,8</w:t>
            </w:r>
          </w:p>
        </w:tc>
        <w:tc>
          <w:tcPr>
            <w:tcW w:w="1701" w:type="dxa"/>
          </w:tcPr>
          <w:p w14:paraId="401DFA74" w14:textId="77777777" w:rsidR="00DA1AF8" w:rsidRPr="0037180C" w:rsidRDefault="00DA1AF8" w:rsidP="006D12EC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591E1313" w14:textId="77777777" w:rsidR="00DA1AF8" w:rsidRPr="00995F2C" w:rsidRDefault="00DA1AF8" w:rsidP="006D12EC">
            <w:pPr>
              <w:rPr>
                <w:sz w:val="20"/>
                <w:szCs w:val="20"/>
              </w:rPr>
            </w:pPr>
            <w:r w:rsidRPr="00995F2C">
              <w:rPr>
                <w:sz w:val="20"/>
                <w:szCs w:val="20"/>
              </w:rPr>
              <w:t>Darbo užmokesčiui</w:t>
            </w:r>
          </w:p>
        </w:tc>
      </w:tr>
      <w:tr w:rsidR="00DA1AF8" w:rsidRPr="00A17BE1" w14:paraId="1702999A" w14:textId="77777777" w:rsidTr="00441501">
        <w:tc>
          <w:tcPr>
            <w:tcW w:w="2694" w:type="dxa"/>
            <w:vMerge/>
            <w:vAlign w:val="center"/>
          </w:tcPr>
          <w:p w14:paraId="1EB8F684" w14:textId="77777777" w:rsidR="00DA1AF8" w:rsidRPr="00A17BE1" w:rsidRDefault="00DA1AF8" w:rsidP="0044150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8D5E75E" w14:textId="77777777" w:rsidR="00DA1AF8" w:rsidRPr="00A17BE1" w:rsidRDefault="00DA1AF8" w:rsidP="00441501">
            <w:pPr>
              <w:jc w:val="center"/>
            </w:pPr>
            <w:r>
              <w:t>0,4</w:t>
            </w:r>
          </w:p>
        </w:tc>
        <w:tc>
          <w:tcPr>
            <w:tcW w:w="1701" w:type="dxa"/>
            <w:vAlign w:val="center"/>
          </w:tcPr>
          <w:p w14:paraId="0119CA95" w14:textId="77777777" w:rsidR="00DA1AF8" w:rsidRPr="00A17BE1" w:rsidRDefault="00DA1AF8" w:rsidP="00441501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557D69E7" w14:textId="77777777" w:rsidR="00DA1AF8" w:rsidRPr="0037180C" w:rsidRDefault="00DA1AF8" w:rsidP="00441501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4754B077" w14:textId="77777777" w:rsidR="00DA1AF8" w:rsidRPr="00995F2C" w:rsidRDefault="00DA1AF8" w:rsidP="006D12EC">
            <w:pPr>
              <w:rPr>
                <w:color w:val="FF0000"/>
                <w:sz w:val="20"/>
                <w:szCs w:val="20"/>
              </w:rPr>
            </w:pPr>
            <w:r w:rsidRPr="00995F2C">
              <w:rPr>
                <w:sz w:val="20"/>
                <w:szCs w:val="20"/>
              </w:rPr>
              <w:t>Išlaidoms, susijusioms su koronaviruso plitimo grėsmės likvidavimu ir jos padarinių šalinimu</w:t>
            </w:r>
          </w:p>
        </w:tc>
      </w:tr>
      <w:tr w:rsidR="00DA1AF8" w:rsidRPr="00A17BE1" w14:paraId="5E08CF9E" w14:textId="77777777" w:rsidTr="00441501">
        <w:tc>
          <w:tcPr>
            <w:tcW w:w="2694" w:type="dxa"/>
            <w:vAlign w:val="center"/>
          </w:tcPr>
          <w:p w14:paraId="59CB70A7" w14:textId="77777777" w:rsidR="00DA1AF8" w:rsidRPr="00A17BE1" w:rsidRDefault="00DA1AF8" w:rsidP="00441501">
            <w:pPr>
              <w:jc w:val="center"/>
            </w:pPr>
            <w:r w:rsidRPr="00390A81">
              <w:t>Lietuvos kultūros taryba</w:t>
            </w:r>
          </w:p>
        </w:tc>
        <w:tc>
          <w:tcPr>
            <w:tcW w:w="1417" w:type="dxa"/>
            <w:vAlign w:val="center"/>
          </w:tcPr>
          <w:p w14:paraId="6CAD89FC" w14:textId="77777777" w:rsidR="00DA1AF8" w:rsidRDefault="00DA1AF8" w:rsidP="00441501">
            <w:pPr>
              <w:jc w:val="center"/>
            </w:pPr>
            <w:r>
              <w:t>19,1</w:t>
            </w:r>
          </w:p>
        </w:tc>
        <w:tc>
          <w:tcPr>
            <w:tcW w:w="1701" w:type="dxa"/>
            <w:vAlign w:val="center"/>
          </w:tcPr>
          <w:p w14:paraId="58938826" w14:textId="77777777" w:rsidR="00DA1AF8" w:rsidRDefault="00DA1AF8" w:rsidP="00441501">
            <w:pPr>
              <w:jc w:val="center"/>
            </w:pPr>
            <w:r w:rsidRPr="005639B1">
              <w:t>19,0</w:t>
            </w:r>
          </w:p>
        </w:tc>
        <w:tc>
          <w:tcPr>
            <w:tcW w:w="1701" w:type="dxa"/>
            <w:vAlign w:val="center"/>
          </w:tcPr>
          <w:p w14:paraId="2EDB0088" w14:textId="77777777" w:rsidR="00DA1AF8" w:rsidRPr="0037180C" w:rsidRDefault="00DA1AF8" w:rsidP="00441501">
            <w:pPr>
              <w:jc w:val="center"/>
            </w:pPr>
            <w:r>
              <w:t>24,3</w:t>
            </w:r>
          </w:p>
        </w:tc>
        <w:tc>
          <w:tcPr>
            <w:tcW w:w="2127" w:type="dxa"/>
          </w:tcPr>
          <w:p w14:paraId="22B03C5F" w14:textId="77777777" w:rsidR="00DA1AF8" w:rsidRPr="00EB7470" w:rsidRDefault="00DA1AF8" w:rsidP="006D12EC">
            <w:pPr>
              <w:rPr>
                <w:sz w:val="20"/>
                <w:szCs w:val="20"/>
              </w:rPr>
            </w:pPr>
            <w:r w:rsidRPr="00EB7470">
              <w:rPr>
                <w:sz w:val="20"/>
                <w:szCs w:val="20"/>
              </w:rPr>
              <w:t xml:space="preserve">Folkloro šventė „Pūsk, </w:t>
            </w:r>
            <w:proofErr w:type="spellStart"/>
            <w:r w:rsidRPr="00EB7470">
              <w:rPr>
                <w:sz w:val="20"/>
                <w:szCs w:val="20"/>
              </w:rPr>
              <w:t>vėjuži</w:t>
            </w:r>
            <w:proofErr w:type="spellEnd"/>
            <w:r w:rsidRPr="00EB7470">
              <w:rPr>
                <w:sz w:val="20"/>
                <w:szCs w:val="20"/>
              </w:rPr>
              <w:t>!“</w:t>
            </w:r>
            <w:r>
              <w:rPr>
                <w:sz w:val="20"/>
                <w:szCs w:val="20"/>
              </w:rPr>
              <w:t>,</w:t>
            </w:r>
            <w:r w:rsidRPr="00EB7470">
              <w:rPr>
                <w:sz w:val="20"/>
                <w:szCs w:val="20"/>
              </w:rPr>
              <w:t xml:space="preserve"> </w:t>
            </w:r>
            <w:proofErr w:type="spellStart"/>
            <w:r w:rsidRPr="00EB7470">
              <w:rPr>
                <w:rFonts w:eastAsia="Calibri"/>
                <w:sz w:val="20"/>
                <w:szCs w:val="20"/>
              </w:rPr>
              <w:t>fesivalis</w:t>
            </w:r>
            <w:proofErr w:type="spellEnd"/>
            <w:r>
              <w:rPr>
                <w:rFonts w:eastAsia="Calibri"/>
                <w:sz w:val="20"/>
                <w:szCs w:val="20"/>
              </w:rPr>
              <w:t>-</w:t>
            </w:r>
            <w:r w:rsidRPr="00EB7470">
              <w:rPr>
                <w:rFonts w:eastAsia="Calibri"/>
                <w:sz w:val="20"/>
                <w:szCs w:val="20"/>
              </w:rPr>
              <w:t xml:space="preserve">konkursas „Baltic </w:t>
            </w:r>
            <w:proofErr w:type="spellStart"/>
            <w:r w:rsidRPr="00EB7470">
              <w:rPr>
                <w:rFonts w:eastAsia="Calibri"/>
                <w:sz w:val="20"/>
                <w:szCs w:val="20"/>
              </w:rPr>
              <w:t>Voice</w:t>
            </w:r>
            <w:proofErr w:type="spellEnd"/>
            <w:r w:rsidRPr="00EB7470">
              <w:rPr>
                <w:rFonts w:eastAsia="Calibri"/>
                <w:sz w:val="20"/>
                <w:szCs w:val="20"/>
              </w:rPr>
              <w:t>“</w:t>
            </w:r>
            <w:r>
              <w:rPr>
                <w:rFonts w:eastAsia="Calibri"/>
                <w:sz w:val="20"/>
                <w:szCs w:val="20"/>
              </w:rPr>
              <w:t>, festivalis „Juodkrantės kurorto dienos“</w:t>
            </w:r>
          </w:p>
        </w:tc>
      </w:tr>
      <w:tr w:rsidR="00441501" w:rsidRPr="00A17BE1" w14:paraId="31189C6C" w14:textId="77777777" w:rsidTr="00441501">
        <w:trPr>
          <w:trHeight w:val="603"/>
        </w:trPr>
        <w:tc>
          <w:tcPr>
            <w:tcW w:w="2694" w:type="dxa"/>
            <w:vMerge w:val="restart"/>
            <w:vAlign w:val="center"/>
          </w:tcPr>
          <w:p w14:paraId="1311C8B4" w14:textId="77777777" w:rsidR="00441501" w:rsidRPr="00A17BE1" w:rsidRDefault="00441501" w:rsidP="00441501">
            <w:pPr>
              <w:jc w:val="center"/>
            </w:pPr>
            <w:r>
              <w:t>Europos Sąjungos lėšos</w:t>
            </w:r>
          </w:p>
        </w:tc>
        <w:tc>
          <w:tcPr>
            <w:tcW w:w="1417" w:type="dxa"/>
            <w:vMerge w:val="restart"/>
            <w:vAlign w:val="center"/>
          </w:tcPr>
          <w:p w14:paraId="2C4D4EE0" w14:textId="77777777" w:rsidR="00441501" w:rsidRDefault="00441501" w:rsidP="00441501">
            <w:pPr>
              <w:jc w:val="center"/>
            </w:pPr>
            <w:r>
              <w:t>0,6</w:t>
            </w:r>
          </w:p>
        </w:tc>
        <w:tc>
          <w:tcPr>
            <w:tcW w:w="1701" w:type="dxa"/>
            <w:vMerge w:val="restart"/>
            <w:vAlign w:val="center"/>
          </w:tcPr>
          <w:p w14:paraId="2CD7A4AB" w14:textId="77777777" w:rsidR="00441501" w:rsidRDefault="00441501" w:rsidP="00441501">
            <w:pPr>
              <w:jc w:val="center"/>
            </w:pPr>
            <w: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67D4FDEC" w14:textId="20EA192C" w:rsidR="00441501" w:rsidRPr="0037180C" w:rsidRDefault="008F755D" w:rsidP="00441501">
            <w:pPr>
              <w:tabs>
                <w:tab w:val="num" w:pos="3090"/>
              </w:tabs>
              <w:jc w:val="center"/>
            </w:pPr>
            <w:r>
              <w:t>8</w:t>
            </w:r>
            <w:r w:rsidR="00441501">
              <w:t>,</w:t>
            </w:r>
            <w:r>
              <w:t>9</w:t>
            </w:r>
          </w:p>
        </w:tc>
        <w:tc>
          <w:tcPr>
            <w:tcW w:w="2127" w:type="dxa"/>
          </w:tcPr>
          <w:p w14:paraId="711E43B6" w14:textId="77569E11" w:rsidR="00441501" w:rsidRPr="00755184" w:rsidRDefault="00441501" w:rsidP="006D12EC">
            <w:pPr>
              <w:tabs>
                <w:tab w:val="num" w:pos="3090"/>
              </w:tabs>
              <w:rPr>
                <w:sz w:val="20"/>
                <w:szCs w:val="20"/>
              </w:rPr>
            </w:pPr>
            <w:r w:rsidRPr="00441501">
              <w:rPr>
                <w:sz w:val="20"/>
                <w:szCs w:val="20"/>
              </w:rPr>
              <w:fldChar w:fldCharType="begin"/>
            </w:r>
            <w:r w:rsidRPr="00441501">
              <w:rPr>
                <w:sz w:val="20"/>
                <w:szCs w:val="20"/>
              </w:rPr>
              <w:instrText xml:space="preserve"> MERGEFIELD Projekto_pavadinimas </w:instrText>
            </w:r>
            <w:r w:rsidRPr="0044150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E</w:t>
            </w:r>
            <w:r w:rsidRPr="00441501">
              <w:rPr>
                <w:sz w:val="20"/>
                <w:szCs w:val="20"/>
              </w:rPr>
              <w:t>dukacinės ir projektinės veiklos tobulinimas</w:t>
            </w:r>
            <w:r w:rsidRPr="00441501">
              <w:rPr>
                <w:sz w:val="20"/>
                <w:szCs w:val="20"/>
              </w:rPr>
              <w:fldChar w:fldCharType="end"/>
            </w:r>
          </w:p>
        </w:tc>
      </w:tr>
      <w:tr w:rsidR="00441501" w:rsidRPr="00A17BE1" w14:paraId="521CAE74" w14:textId="77777777" w:rsidTr="00441501">
        <w:trPr>
          <w:trHeight w:val="318"/>
        </w:trPr>
        <w:tc>
          <w:tcPr>
            <w:tcW w:w="2694" w:type="dxa"/>
            <w:vMerge/>
            <w:vAlign w:val="center"/>
          </w:tcPr>
          <w:p w14:paraId="73974FDB" w14:textId="77777777" w:rsidR="00441501" w:rsidRDefault="00441501" w:rsidP="0044150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0EDF6764" w14:textId="77777777" w:rsidR="00441501" w:rsidRDefault="00441501" w:rsidP="0044150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2B8E3149" w14:textId="77777777" w:rsidR="00441501" w:rsidRDefault="00441501" w:rsidP="0044150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9057BB7" w14:textId="77777777" w:rsidR="00441501" w:rsidRDefault="00441501" w:rsidP="00441501">
            <w:pPr>
              <w:tabs>
                <w:tab w:val="num" w:pos="3090"/>
              </w:tabs>
              <w:jc w:val="center"/>
            </w:pPr>
          </w:p>
        </w:tc>
        <w:tc>
          <w:tcPr>
            <w:tcW w:w="2127" w:type="dxa"/>
          </w:tcPr>
          <w:p w14:paraId="3267C5D1" w14:textId="048DEF71" w:rsidR="00441501" w:rsidRPr="00441501" w:rsidRDefault="00441501" w:rsidP="006D12EC">
            <w:pPr>
              <w:tabs>
                <w:tab w:val="num" w:pos="30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Istorinės ekspozicijos atnaujinimas</w:t>
            </w:r>
          </w:p>
        </w:tc>
      </w:tr>
      <w:tr w:rsidR="00DA1AF8" w:rsidRPr="00A17BE1" w14:paraId="0E14464F" w14:textId="77777777" w:rsidTr="00441501">
        <w:tc>
          <w:tcPr>
            <w:tcW w:w="2694" w:type="dxa"/>
            <w:vMerge w:val="restart"/>
            <w:vAlign w:val="center"/>
          </w:tcPr>
          <w:p w14:paraId="1835A617" w14:textId="77777777" w:rsidR="00DA1AF8" w:rsidRPr="00A17BE1" w:rsidRDefault="00DA1AF8" w:rsidP="00441501">
            <w:pPr>
              <w:jc w:val="center"/>
            </w:pPr>
            <w:r w:rsidRPr="00A17BE1">
              <w:t>Spec. programų (lėšos už mokamas paslaugas ir parduotas prekes) lėšos</w:t>
            </w:r>
          </w:p>
        </w:tc>
        <w:tc>
          <w:tcPr>
            <w:tcW w:w="1417" w:type="dxa"/>
            <w:vAlign w:val="center"/>
          </w:tcPr>
          <w:p w14:paraId="5D318570" w14:textId="77777777" w:rsidR="00DA1AF8" w:rsidRDefault="00DA1AF8" w:rsidP="006D12EC">
            <w:pPr>
              <w:jc w:val="center"/>
            </w:pPr>
            <w:r>
              <w:t>0,2</w:t>
            </w:r>
          </w:p>
        </w:tc>
        <w:tc>
          <w:tcPr>
            <w:tcW w:w="1701" w:type="dxa"/>
            <w:vAlign w:val="center"/>
          </w:tcPr>
          <w:p w14:paraId="4FD905A9" w14:textId="77777777" w:rsidR="00DA1AF8" w:rsidRDefault="00DA1AF8" w:rsidP="006D12EC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53BAF46B" w14:textId="77777777" w:rsidR="00DA1AF8" w:rsidRPr="0037180C" w:rsidRDefault="00DA1AF8" w:rsidP="006D12EC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463F8669" w14:textId="77777777" w:rsidR="00DA1AF8" w:rsidRPr="00755184" w:rsidRDefault="00DA1AF8" w:rsidP="006D12EC">
            <w:pPr>
              <w:rPr>
                <w:sz w:val="20"/>
                <w:szCs w:val="20"/>
              </w:rPr>
            </w:pPr>
            <w:r w:rsidRPr="00755184">
              <w:rPr>
                <w:sz w:val="20"/>
                <w:szCs w:val="20"/>
              </w:rPr>
              <w:t>Darbo užmokesčiui ir socialiniam draudimui</w:t>
            </w:r>
          </w:p>
        </w:tc>
      </w:tr>
      <w:tr w:rsidR="00DA1AF8" w:rsidRPr="00A17BE1" w14:paraId="1BAEFC84" w14:textId="77777777" w:rsidTr="00441501">
        <w:trPr>
          <w:trHeight w:val="224"/>
        </w:trPr>
        <w:tc>
          <w:tcPr>
            <w:tcW w:w="2694" w:type="dxa"/>
            <w:vMerge/>
            <w:vAlign w:val="center"/>
          </w:tcPr>
          <w:p w14:paraId="337A75B2" w14:textId="77777777" w:rsidR="00DA1AF8" w:rsidRPr="00A17BE1" w:rsidRDefault="00DA1AF8" w:rsidP="0044150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C01F9A3" w14:textId="77777777" w:rsidR="00DA1AF8" w:rsidRPr="005B7615" w:rsidRDefault="00DA1AF8" w:rsidP="006D12EC">
            <w:pPr>
              <w:jc w:val="center"/>
            </w:pPr>
            <w:r>
              <w:t>7,7</w:t>
            </w:r>
          </w:p>
        </w:tc>
        <w:tc>
          <w:tcPr>
            <w:tcW w:w="1701" w:type="dxa"/>
            <w:vAlign w:val="center"/>
          </w:tcPr>
          <w:p w14:paraId="72D2E975" w14:textId="77777777" w:rsidR="00DA1AF8" w:rsidRPr="005B7615" w:rsidRDefault="00DA1AF8" w:rsidP="006D12EC">
            <w:pPr>
              <w:jc w:val="center"/>
            </w:pPr>
            <w:r>
              <w:t>8,0</w:t>
            </w:r>
          </w:p>
        </w:tc>
        <w:tc>
          <w:tcPr>
            <w:tcW w:w="1701" w:type="dxa"/>
            <w:vAlign w:val="center"/>
          </w:tcPr>
          <w:p w14:paraId="20532877" w14:textId="77777777" w:rsidR="00DA1AF8" w:rsidRPr="0037180C" w:rsidRDefault="00DA1AF8" w:rsidP="00441501">
            <w:pPr>
              <w:jc w:val="center"/>
            </w:pPr>
            <w:r>
              <w:t>14,7</w:t>
            </w:r>
          </w:p>
        </w:tc>
        <w:tc>
          <w:tcPr>
            <w:tcW w:w="2127" w:type="dxa"/>
          </w:tcPr>
          <w:p w14:paraId="3144138E" w14:textId="77777777" w:rsidR="00DA1AF8" w:rsidRPr="00755184" w:rsidRDefault="00DA1AF8" w:rsidP="006D12EC">
            <w:pPr>
              <w:rPr>
                <w:sz w:val="20"/>
                <w:szCs w:val="20"/>
              </w:rPr>
            </w:pPr>
            <w:r w:rsidRPr="00755184">
              <w:rPr>
                <w:sz w:val="20"/>
                <w:szCs w:val="20"/>
              </w:rPr>
              <w:t>Pervesti pinigai tiekėjams už parduotas prekes ir paslaugas</w:t>
            </w:r>
          </w:p>
        </w:tc>
      </w:tr>
      <w:tr w:rsidR="00DA1AF8" w:rsidRPr="00A17BE1" w14:paraId="2A0DFE17" w14:textId="77777777" w:rsidTr="00441501">
        <w:tc>
          <w:tcPr>
            <w:tcW w:w="2694" w:type="dxa"/>
            <w:vAlign w:val="center"/>
          </w:tcPr>
          <w:p w14:paraId="231A03D6" w14:textId="77777777" w:rsidR="00DA1AF8" w:rsidRPr="00A17BE1" w:rsidRDefault="00DA1AF8" w:rsidP="00441501">
            <w:pPr>
              <w:jc w:val="center"/>
            </w:pPr>
            <w:r w:rsidRPr="00A17BE1">
              <w:t>Paramos, labdaros lėšos</w:t>
            </w:r>
          </w:p>
        </w:tc>
        <w:tc>
          <w:tcPr>
            <w:tcW w:w="1417" w:type="dxa"/>
            <w:vAlign w:val="center"/>
          </w:tcPr>
          <w:p w14:paraId="3811DED7" w14:textId="77777777" w:rsidR="00DA1AF8" w:rsidRPr="007243A8" w:rsidRDefault="00DA1AF8" w:rsidP="00441501">
            <w:pPr>
              <w:jc w:val="center"/>
            </w:pPr>
            <w:r w:rsidRPr="00A17BE1">
              <w:t xml:space="preserve">Gauta </w:t>
            </w:r>
            <w:r>
              <w:t>0,1</w:t>
            </w:r>
            <w:r w:rsidRPr="00A17BE1">
              <w:t xml:space="preserve"> Panaudota </w:t>
            </w:r>
            <w:r>
              <w:t>0</w:t>
            </w:r>
          </w:p>
        </w:tc>
        <w:tc>
          <w:tcPr>
            <w:tcW w:w="1701" w:type="dxa"/>
            <w:vAlign w:val="center"/>
          </w:tcPr>
          <w:p w14:paraId="209EBD7E" w14:textId="77777777" w:rsidR="00DA1AF8" w:rsidRDefault="00DA1AF8" w:rsidP="00441501">
            <w:pPr>
              <w:jc w:val="center"/>
            </w:pPr>
            <w:r w:rsidRPr="00A17BE1">
              <w:t>Gauta</w:t>
            </w:r>
            <w:r>
              <w:t xml:space="preserve"> 0,1</w:t>
            </w:r>
          </w:p>
          <w:p w14:paraId="78293FCA" w14:textId="31411A32" w:rsidR="00DA1AF8" w:rsidRDefault="00DA1AF8" w:rsidP="00441501">
            <w:pPr>
              <w:jc w:val="center"/>
            </w:pPr>
            <w:r>
              <w:t>Panaudota</w:t>
            </w:r>
            <w:r w:rsidR="00441501">
              <w:t xml:space="preserve"> </w:t>
            </w:r>
            <w:r>
              <w:t>0</w:t>
            </w:r>
          </w:p>
        </w:tc>
        <w:tc>
          <w:tcPr>
            <w:tcW w:w="1701" w:type="dxa"/>
            <w:vAlign w:val="center"/>
          </w:tcPr>
          <w:p w14:paraId="61811254" w14:textId="41C3D171" w:rsidR="00DA1AF8" w:rsidRDefault="00DA1AF8" w:rsidP="00441501">
            <w:pPr>
              <w:jc w:val="center"/>
            </w:pPr>
            <w:r w:rsidRPr="00662C40">
              <w:t>Gauta 0,1</w:t>
            </w:r>
          </w:p>
          <w:p w14:paraId="2FA91ABA" w14:textId="77777777" w:rsidR="00DA1AF8" w:rsidRPr="0037180C" w:rsidRDefault="00DA1AF8" w:rsidP="00441501">
            <w:pPr>
              <w:ind w:left="183" w:hanging="183"/>
              <w:jc w:val="center"/>
              <w:rPr>
                <w:highlight w:val="yellow"/>
              </w:rPr>
            </w:pPr>
            <w:r>
              <w:t>Panaudota 0</w:t>
            </w:r>
          </w:p>
        </w:tc>
        <w:tc>
          <w:tcPr>
            <w:tcW w:w="2127" w:type="dxa"/>
          </w:tcPr>
          <w:p w14:paraId="05730EDE" w14:textId="77777777" w:rsidR="00DA1AF8" w:rsidRPr="00A17BE1" w:rsidRDefault="00DA1AF8" w:rsidP="006D12EC">
            <w:pPr>
              <w:rPr>
                <w:highlight w:val="yellow"/>
              </w:rPr>
            </w:pPr>
          </w:p>
        </w:tc>
      </w:tr>
      <w:bookmarkEnd w:id="3"/>
    </w:tbl>
    <w:p w14:paraId="7D5A92DA" w14:textId="62BEBC9C" w:rsidR="00A17BE1" w:rsidRDefault="00A17BE1" w:rsidP="004F7D43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A568CE2" w14:textId="75678D45" w:rsidR="004F7D43" w:rsidRDefault="004F7D43" w:rsidP="004F7D43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0A381BC" w14:textId="3BB4D1E7" w:rsidR="004F7D43" w:rsidRDefault="004F7D43" w:rsidP="004F7D43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2E56522" w14:textId="32770D97" w:rsidR="004F7D43" w:rsidRPr="00FD7130" w:rsidRDefault="004F7D43" w:rsidP="004F7D4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bookmarkEnd w:id="0"/>
    </w:p>
    <w:sectPr w:rsidR="004F7D43" w:rsidRPr="00FD7130" w:rsidSect="00962465">
      <w:footerReference w:type="default" r:id="rId9"/>
      <w:pgSz w:w="11906" w:h="16838"/>
      <w:pgMar w:top="1134" w:right="70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0DCC" w14:textId="77777777" w:rsidR="00C83613" w:rsidRDefault="00C83613" w:rsidP="00B81F38">
      <w:r>
        <w:separator/>
      </w:r>
    </w:p>
  </w:endnote>
  <w:endnote w:type="continuationSeparator" w:id="0">
    <w:p w14:paraId="11AB5B64" w14:textId="77777777" w:rsidR="00C83613" w:rsidRDefault="00C83613" w:rsidP="00B8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133413"/>
      <w:docPartObj>
        <w:docPartGallery w:val="Page Numbers (Bottom of Page)"/>
        <w:docPartUnique/>
      </w:docPartObj>
    </w:sdtPr>
    <w:sdtContent>
      <w:p w14:paraId="4A302ED9" w14:textId="77777777" w:rsidR="007D2781" w:rsidRDefault="007D278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838">
          <w:rPr>
            <w:noProof/>
          </w:rPr>
          <w:t>1</w:t>
        </w:r>
        <w:r>
          <w:fldChar w:fldCharType="end"/>
        </w:r>
      </w:p>
    </w:sdtContent>
  </w:sdt>
  <w:p w14:paraId="3582046A" w14:textId="77777777" w:rsidR="007D2781" w:rsidRDefault="007D278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9674" w14:textId="77777777" w:rsidR="00C83613" w:rsidRDefault="00C83613" w:rsidP="00B81F38">
      <w:r>
        <w:separator/>
      </w:r>
    </w:p>
  </w:footnote>
  <w:footnote w:type="continuationSeparator" w:id="0">
    <w:p w14:paraId="6CD911A2" w14:textId="77777777" w:rsidR="00C83613" w:rsidRDefault="00C83613" w:rsidP="00B8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7BE"/>
    <w:multiLevelType w:val="hybridMultilevel"/>
    <w:tmpl w:val="2182D0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2C3F"/>
    <w:multiLevelType w:val="hybridMultilevel"/>
    <w:tmpl w:val="21E2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609"/>
    <w:multiLevelType w:val="hybridMultilevel"/>
    <w:tmpl w:val="5B6232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01CD2"/>
    <w:multiLevelType w:val="hybridMultilevel"/>
    <w:tmpl w:val="A5089F12"/>
    <w:lvl w:ilvl="0" w:tplc="042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1B9B3201"/>
    <w:multiLevelType w:val="hybridMultilevel"/>
    <w:tmpl w:val="C7C45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26A27"/>
    <w:multiLevelType w:val="hybridMultilevel"/>
    <w:tmpl w:val="742E7F48"/>
    <w:lvl w:ilvl="0" w:tplc="4AB42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09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C5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3E0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0CB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09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4A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43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EE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3A0E05"/>
    <w:multiLevelType w:val="hybridMultilevel"/>
    <w:tmpl w:val="F2DED6E2"/>
    <w:lvl w:ilvl="0" w:tplc="1556F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AE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E7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24D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CA1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A4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A9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02D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8C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0F2047"/>
    <w:multiLevelType w:val="multilevel"/>
    <w:tmpl w:val="4BA8005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8" w15:restartNumberingAfterBreak="0">
    <w:nsid w:val="360C15F2"/>
    <w:multiLevelType w:val="hybridMultilevel"/>
    <w:tmpl w:val="C5FCE088"/>
    <w:lvl w:ilvl="0" w:tplc="441A08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2E54308"/>
    <w:multiLevelType w:val="hybridMultilevel"/>
    <w:tmpl w:val="F1F298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E12AD"/>
    <w:multiLevelType w:val="hybridMultilevel"/>
    <w:tmpl w:val="7A80FE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73AFB"/>
    <w:multiLevelType w:val="hybridMultilevel"/>
    <w:tmpl w:val="06D8F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511479">
    <w:abstractNumId w:val="7"/>
  </w:num>
  <w:num w:numId="2" w16cid:durableId="1867448477">
    <w:abstractNumId w:val="0"/>
  </w:num>
  <w:num w:numId="3" w16cid:durableId="566501509">
    <w:abstractNumId w:val="8"/>
  </w:num>
  <w:num w:numId="4" w16cid:durableId="459226741">
    <w:abstractNumId w:val="1"/>
  </w:num>
  <w:num w:numId="5" w16cid:durableId="1912042451">
    <w:abstractNumId w:val="5"/>
  </w:num>
  <w:num w:numId="6" w16cid:durableId="1820145805">
    <w:abstractNumId w:val="6"/>
  </w:num>
  <w:num w:numId="7" w16cid:durableId="1115095426">
    <w:abstractNumId w:val="2"/>
  </w:num>
  <w:num w:numId="8" w16cid:durableId="802311284">
    <w:abstractNumId w:val="9"/>
  </w:num>
  <w:num w:numId="9" w16cid:durableId="1753354785">
    <w:abstractNumId w:val="11"/>
  </w:num>
  <w:num w:numId="10" w16cid:durableId="589385565">
    <w:abstractNumId w:val="10"/>
  </w:num>
  <w:num w:numId="11" w16cid:durableId="23334826">
    <w:abstractNumId w:val="4"/>
  </w:num>
  <w:num w:numId="12" w16cid:durableId="163198137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03"/>
    <w:rsid w:val="0000124E"/>
    <w:rsid w:val="0000125E"/>
    <w:rsid w:val="0000217E"/>
    <w:rsid w:val="00002EAB"/>
    <w:rsid w:val="00003F7B"/>
    <w:rsid w:val="00004EDE"/>
    <w:rsid w:val="00011460"/>
    <w:rsid w:val="00015899"/>
    <w:rsid w:val="000179AA"/>
    <w:rsid w:val="0002128F"/>
    <w:rsid w:val="00025432"/>
    <w:rsid w:val="00025EC0"/>
    <w:rsid w:val="0003545B"/>
    <w:rsid w:val="00036BCC"/>
    <w:rsid w:val="00040CA9"/>
    <w:rsid w:val="00045B7E"/>
    <w:rsid w:val="0004647A"/>
    <w:rsid w:val="000505D4"/>
    <w:rsid w:val="000637BD"/>
    <w:rsid w:val="000664DA"/>
    <w:rsid w:val="00072D55"/>
    <w:rsid w:val="00075A22"/>
    <w:rsid w:val="00076BEB"/>
    <w:rsid w:val="0008040E"/>
    <w:rsid w:val="000811B3"/>
    <w:rsid w:val="00081291"/>
    <w:rsid w:val="00082879"/>
    <w:rsid w:val="000862D5"/>
    <w:rsid w:val="00086BE2"/>
    <w:rsid w:val="00093962"/>
    <w:rsid w:val="00093D7F"/>
    <w:rsid w:val="00094485"/>
    <w:rsid w:val="00094EAD"/>
    <w:rsid w:val="000960D0"/>
    <w:rsid w:val="000969CB"/>
    <w:rsid w:val="000A0598"/>
    <w:rsid w:val="000A5BE3"/>
    <w:rsid w:val="000B2673"/>
    <w:rsid w:val="000B3543"/>
    <w:rsid w:val="000B358E"/>
    <w:rsid w:val="000C48AF"/>
    <w:rsid w:val="000E49C2"/>
    <w:rsid w:val="000F2BE8"/>
    <w:rsid w:val="000F30BE"/>
    <w:rsid w:val="000F7441"/>
    <w:rsid w:val="000F758E"/>
    <w:rsid w:val="00107327"/>
    <w:rsid w:val="001119F1"/>
    <w:rsid w:val="00112081"/>
    <w:rsid w:val="00116E29"/>
    <w:rsid w:val="00116E47"/>
    <w:rsid w:val="00117699"/>
    <w:rsid w:val="00126058"/>
    <w:rsid w:val="00127ABD"/>
    <w:rsid w:val="00131779"/>
    <w:rsid w:val="001332F6"/>
    <w:rsid w:val="00133C17"/>
    <w:rsid w:val="001342C0"/>
    <w:rsid w:val="00134E04"/>
    <w:rsid w:val="001355E9"/>
    <w:rsid w:val="001359B6"/>
    <w:rsid w:val="00135DB7"/>
    <w:rsid w:val="00137EA7"/>
    <w:rsid w:val="0014032E"/>
    <w:rsid w:val="00140C86"/>
    <w:rsid w:val="0015785D"/>
    <w:rsid w:val="00161B5B"/>
    <w:rsid w:val="00165E8D"/>
    <w:rsid w:val="00170680"/>
    <w:rsid w:val="00173291"/>
    <w:rsid w:val="00175741"/>
    <w:rsid w:val="00175BD1"/>
    <w:rsid w:val="0017645B"/>
    <w:rsid w:val="00182137"/>
    <w:rsid w:val="001822CC"/>
    <w:rsid w:val="00184252"/>
    <w:rsid w:val="001857DA"/>
    <w:rsid w:val="00186B8F"/>
    <w:rsid w:val="00187102"/>
    <w:rsid w:val="001900A1"/>
    <w:rsid w:val="001911E3"/>
    <w:rsid w:val="00195703"/>
    <w:rsid w:val="001A254E"/>
    <w:rsid w:val="001A69C4"/>
    <w:rsid w:val="001B44BE"/>
    <w:rsid w:val="001B6A5C"/>
    <w:rsid w:val="001B79CB"/>
    <w:rsid w:val="001C478D"/>
    <w:rsid w:val="001D1291"/>
    <w:rsid w:val="001D2300"/>
    <w:rsid w:val="001D2437"/>
    <w:rsid w:val="001D5C82"/>
    <w:rsid w:val="001E006C"/>
    <w:rsid w:val="001E1B5D"/>
    <w:rsid w:val="001E54C2"/>
    <w:rsid w:val="001E7BF8"/>
    <w:rsid w:val="001F5AE8"/>
    <w:rsid w:val="0020343C"/>
    <w:rsid w:val="00206301"/>
    <w:rsid w:val="00214BAB"/>
    <w:rsid w:val="00216C0E"/>
    <w:rsid w:val="00220FE0"/>
    <w:rsid w:val="00221C0D"/>
    <w:rsid w:val="002338A2"/>
    <w:rsid w:val="002441AE"/>
    <w:rsid w:val="0024665F"/>
    <w:rsid w:val="0024766E"/>
    <w:rsid w:val="00255A67"/>
    <w:rsid w:val="00255F83"/>
    <w:rsid w:val="002576BA"/>
    <w:rsid w:val="00260E8F"/>
    <w:rsid w:val="00263391"/>
    <w:rsid w:val="00266830"/>
    <w:rsid w:val="00271396"/>
    <w:rsid w:val="0027258B"/>
    <w:rsid w:val="00274406"/>
    <w:rsid w:val="0028079D"/>
    <w:rsid w:val="0028329B"/>
    <w:rsid w:val="00284A21"/>
    <w:rsid w:val="00286842"/>
    <w:rsid w:val="00287325"/>
    <w:rsid w:val="00293AD0"/>
    <w:rsid w:val="00293E17"/>
    <w:rsid w:val="00294155"/>
    <w:rsid w:val="00294A04"/>
    <w:rsid w:val="002A03DC"/>
    <w:rsid w:val="002A496F"/>
    <w:rsid w:val="002B2722"/>
    <w:rsid w:val="002B3039"/>
    <w:rsid w:val="002B49EE"/>
    <w:rsid w:val="002C0027"/>
    <w:rsid w:val="002C1809"/>
    <w:rsid w:val="002D14A3"/>
    <w:rsid w:val="002D2941"/>
    <w:rsid w:val="002D67CC"/>
    <w:rsid w:val="002E170C"/>
    <w:rsid w:val="002E345B"/>
    <w:rsid w:val="002E557E"/>
    <w:rsid w:val="002F41F2"/>
    <w:rsid w:val="002F6637"/>
    <w:rsid w:val="002F764C"/>
    <w:rsid w:val="002F7A6E"/>
    <w:rsid w:val="003042AC"/>
    <w:rsid w:val="0031368D"/>
    <w:rsid w:val="00316F89"/>
    <w:rsid w:val="00323C19"/>
    <w:rsid w:val="0034120A"/>
    <w:rsid w:val="0034278C"/>
    <w:rsid w:val="0034331D"/>
    <w:rsid w:val="00347548"/>
    <w:rsid w:val="00350198"/>
    <w:rsid w:val="00354ABC"/>
    <w:rsid w:val="0035724B"/>
    <w:rsid w:val="00374990"/>
    <w:rsid w:val="00385508"/>
    <w:rsid w:val="003868DB"/>
    <w:rsid w:val="00390A81"/>
    <w:rsid w:val="00391271"/>
    <w:rsid w:val="00391CE4"/>
    <w:rsid w:val="003964BF"/>
    <w:rsid w:val="003A0453"/>
    <w:rsid w:val="003A1A00"/>
    <w:rsid w:val="003B145C"/>
    <w:rsid w:val="003B154C"/>
    <w:rsid w:val="003C1B3A"/>
    <w:rsid w:val="003C3F1A"/>
    <w:rsid w:val="003C66D7"/>
    <w:rsid w:val="003E1693"/>
    <w:rsid w:val="003E44F8"/>
    <w:rsid w:val="003F3419"/>
    <w:rsid w:val="003F53C1"/>
    <w:rsid w:val="003F6DCD"/>
    <w:rsid w:val="004017D2"/>
    <w:rsid w:val="00402DA4"/>
    <w:rsid w:val="004061F9"/>
    <w:rsid w:val="00410242"/>
    <w:rsid w:val="004133F7"/>
    <w:rsid w:val="00413866"/>
    <w:rsid w:val="00415A88"/>
    <w:rsid w:val="004177A8"/>
    <w:rsid w:val="00426706"/>
    <w:rsid w:val="00433851"/>
    <w:rsid w:val="00434346"/>
    <w:rsid w:val="00436ABE"/>
    <w:rsid w:val="00441501"/>
    <w:rsid w:val="00441674"/>
    <w:rsid w:val="004566D5"/>
    <w:rsid w:val="00456CFB"/>
    <w:rsid w:val="004579D7"/>
    <w:rsid w:val="00462A5D"/>
    <w:rsid w:val="00463EA1"/>
    <w:rsid w:val="004703BC"/>
    <w:rsid w:val="004757B6"/>
    <w:rsid w:val="004A3253"/>
    <w:rsid w:val="004A513A"/>
    <w:rsid w:val="004B0D57"/>
    <w:rsid w:val="004B1313"/>
    <w:rsid w:val="004B2187"/>
    <w:rsid w:val="004B5E3B"/>
    <w:rsid w:val="004C528D"/>
    <w:rsid w:val="004E23E9"/>
    <w:rsid w:val="004E4EEC"/>
    <w:rsid w:val="004F1A30"/>
    <w:rsid w:val="004F224B"/>
    <w:rsid w:val="004F7CC0"/>
    <w:rsid w:val="004F7D43"/>
    <w:rsid w:val="004F7DF5"/>
    <w:rsid w:val="005069CB"/>
    <w:rsid w:val="00511D09"/>
    <w:rsid w:val="005133BA"/>
    <w:rsid w:val="00514820"/>
    <w:rsid w:val="00514909"/>
    <w:rsid w:val="00515C70"/>
    <w:rsid w:val="00524732"/>
    <w:rsid w:val="00525875"/>
    <w:rsid w:val="005260C5"/>
    <w:rsid w:val="00526CEE"/>
    <w:rsid w:val="005316CE"/>
    <w:rsid w:val="00533E7C"/>
    <w:rsid w:val="00534677"/>
    <w:rsid w:val="00537005"/>
    <w:rsid w:val="00541546"/>
    <w:rsid w:val="00543802"/>
    <w:rsid w:val="005509CF"/>
    <w:rsid w:val="00553556"/>
    <w:rsid w:val="005554D9"/>
    <w:rsid w:val="00556777"/>
    <w:rsid w:val="00561412"/>
    <w:rsid w:val="00561625"/>
    <w:rsid w:val="00564845"/>
    <w:rsid w:val="0056656E"/>
    <w:rsid w:val="00573E10"/>
    <w:rsid w:val="00573F53"/>
    <w:rsid w:val="00581D7D"/>
    <w:rsid w:val="005850CD"/>
    <w:rsid w:val="005935F5"/>
    <w:rsid w:val="00593945"/>
    <w:rsid w:val="005A1FA6"/>
    <w:rsid w:val="005A627A"/>
    <w:rsid w:val="005A6B96"/>
    <w:rsid w:val="005B2403"/>
    <w:rsid w:val="005B5561"/>
    <w:rsid w:val="005B5627"/>
    <w:rsid w:val="005B5F6D"/>
    <w:rsid w:val="005B7615"/>
    <w:rsid w:val="005C14C7"/>
    <w:rsid w:val="005D4A3B"/>
    <w:rsid w:val="005F0D90"/>
    <w:rsid w:val="005F2DBB"/>
    <w:rsid w:val="005F512E"/>
    <w:rsid w:val="005F7F16"/>
    <w:rsid w:val="00601E31"/>
    <w:rsid w:val="00615592"/>
    <w:rsid w:val="006206C2"/>
    <w:rsid w:val="00623BC3"/>
    <w:rsid w:val="00640779"/>
    <w:rsid w:val="006432F5"/>
    <w:rsid w:val="006453AA"/>
    <w:rsid w:val="00647D1B"/>
    <w:rsid w:val="00657E2B"/>
    <w:rsid w:val="0066326F"/>
    <w:rsid w:val="00663FDD"/>
    <w:rsid w:val="006660BD"/>
    <w:rsid w:val="00676F1C"/>
    <w:rsid w:val="00677218"/>
    <w:rsid w:val="00682B65"/>
    <w:rsid w:val="00685541"/>
    <w:rsid w:val="00691E22"/>
    <w:rsid w:val="006A0C24"/>
    <w:rsid w:val="006A125D"/>
    <w:rsid w:val="006B1B93"/>
    <w:rsid w:val="006B5703"/>
    <w:rsid w:val="006B75D6"/>
    <w:rsid w:val="006D054A"/>
    <w:rsid w:val="006D1E88"/>
    <w:rsid w:val="006E0BE6"/>
    <w:rsid w:val="006E2670"/>
    <w:rsid w:val="006E41E9"/>
    <w:rsid w:val="006F0796"/>
    <w:rsid w:val="0070201B"/>
    <w:rsid w:val="00703961"/>
    <w:rsid w:val="00713397"/>
    <w:rsid w:val="00715120"/>
    <w:rsid w:val="007243A8"/>
    <w:rsid w:val="00724E68"/>
    <w:rsid w:val="00726EE7"/>
    <w:rsid w:val="00727B97"/>
    <w:rsid w:val="00730040"/>
    <w:rsid w:val="007318AE"/>
    <w:rsid w:val="0073401B"/>
    <w:rsid w:val="0073578B"/>
    <w:rsid w:val="00735A9F"/>
    <w:rsid w:val="00741FED"/>
    <w:rsid w:val="00742C7B"/>
    <w:rsid w:val="00742D7D"/>
    <w:rsid w:val="0074579B"/>
    <w:rsid w:val="00752753"/>
    <w:rsid w:val="00754D93"/>
    <w:rsid w:val="00755184"/>
    <w:rsid w:val="00762BE6"/>
    <w:rsid w:val="00762EA8"/>
    <w:rsid w:val="00770E94"/>
    <w:rsid w:val="00781A70"/>
    <w:rsid w:val="00781AD4"/>
    <w:rsid w:val="00783D38"/>
    <w:rsid w:val="00790F7D"/>
    <w:rsid w:val="007924DE"/>
    <w:rsid w:val="00792DBB"/>
    <w:rsid w:val="00793B8B"/>
    <w:rsid w:val="007A372B"/>
    <w:rsid w:val="007A62AA"/>
    <w:rsid w:val="007B0091"/>
    <w:rsid w:val="007B3BE8"/>
    <w:rsid w:val="007C296A"/>
    <w:rsid w:val="007D13A3"/>
    <w:rsid w:val="007D2007"/>
    <w:rsid w:val="007D2781"/>
    <w:rsid w:val="007E308D"/>
    <w:rsid w:val="007E39D6"/>
    <w:rsid w:val="007E4746"/>
    <w:rsid w:val="007E62C8"/>
    <w:rsid w:val="007F1A0F"/>
    <w:rsid w:val="007F3DA1"/>
    <w:rsid w:val="007F43BC"/>
    <w:rsid w:val="008007E4"/>
    <w:rsid w:val="00803CA1"/>
    <w:rsid w:val="00804DBF"/>
    <w:rsid w:val="00811845"/>
    <w:rsid w:val="00817D98"/>
    <w:rsid w:val="0082148F"/>
    <w:rsid w:val="00827A7E"/>
    <w:rsid w:val="0083272D"/>
    <w:rsid w:val="00832894"/>
    <w:rsid w:val="00837E94"/>
    <w:rsid w:val="0084610E"/>
    <w:rsid w:val="0084772E"/>
    <w:rsid w:val="00855778"/>
    <w:rsid w:val="00861936"/>
    <w:rsid w:val="00862D36"/>
    <w:rsid w:val="00864A3A"/>
    <w:rsid w:val="00871F57"/>
    <w:rsid w:val="008720AE"/>
    <w:rsid w:val="0087260C"/>
    <w:rsid w:val="0087509E"/>
    <w:rsid w:val="00876839"/>
    <w:rsid w:val="00882D9B"/>
    <w:rsid w:val="00887E4F"/>
    <w:rsid w:val="00895D9E"/>
    <w:rsid w:val="008972A6"/>
    <w:rsid w:val="008A07E8"/>
    <w:rsid w:val="008A170B"/>
    <w:rsid w:val="008A2CC0"/>
    <w:rsid w:val="008A4109"/>
    <w:rsid w:val="008A4865"/>
    <w:rsid w:val="008B0241"/>
    <w:rsid w:val="008B0814"/>
    <w:rsid w:val="008B22FA"/>
    <w:rsid w:val="008B423C"/>
    <w:rsid w:val="008B5E04"/>
    <w:rsid w:val="008B7499"/>
    <w:rsid w:val="008C4F17"/>
    <w:rsid w:val="008C5795"/>
    <w:rsid w:val="008C57D5"/>
    <w:rsid w:val="008D00C2"/>
    <w:rsid w:val="008D15E4"/>
    <w:rsid w:val="008D7837"/>
    <w:rsid w:val="008F4BF9"/>
    <w:rsid w:val="008F755D"/>
    <w:rsid w:val="009015D6"/>
    <w:rsid w:val="009022ED"/>
    <w:rsid w:val="0091054E"/>
    <w:rsid w:val="00911503"/>
    <w:rsid w:val="0091174D"/>
    <w:rsid w:val="009120BD"/>
    <w:rsid w:val="00914C82"/>
    <w:rsid w:val="00920A67"/>
    <w:rsid w:val="0092188B"/>
    <w:rsid w:val="00927CF1"/>
    <w:rsid w:val="00931184"/>
    <w:rsid w:val="00936149"/>
    <w:rsid w:val="00940EDE"/>
    <w:rsid w:val="00941FB8"/>
    <w:rsid w:val="0094204E"/>
    <w:rsid w:val="00942EAB"/>
    <w:rsid w:val="009434E8"/>
    <w:rsid w:val="009546A6"/>
    <w:rsid w:val="00960594"/>
    <w:rsid w:val="00962465"/>
    <w:rsid w:val="00977342"/>
    <w:rsid w:val="00982F7D"/>
    <w:rsid w:val="00985C92"/>
    <w:rsid w:val="00986124"/>
    <w:rsid w:val="00986770"/>
    <w:rsid w:val="00995F2C"/>
    <w:rsid w:val="00996492"/>
    <w:rsid w:val="009A1DEE"/>
    <w:rsid w:val="009A51D1"/>
    <w:rsid w:val="009A7C8A"/>
    <w:rsid w:val="009B16BF"/>
    <w:rsid w:val="009B5A60"/>
    <w:rsid w:val="009C0D40"/>
    <w:rsid w:val="009C1403"/>
    <w:rsid w:val="009C24DC"/>
    <w:rsid w:val="009C24EF"/>
    <w:rsid w:val="009C7706"/>
    <w:rsid w:val="009E0C42"/>
    <w:rsid w:val="009E0DDC"/>
    <w:rsid w:val="009E6F58"/>
    <w:rsid w:val="009F0D16"/>
    <w:rsid w:val="009F24B3"/>
    <w:rsid w:val="009F7620"/>
    <w:rsid w:val="00A0047D"/>
    <w:rsid w:val="00A0249C"/>
    <w:rsid w:val="00A078CF"/>
    <w:rsid w:val="00A150E0"/>
    <w:rsid w:val="00A17769"/>
    <w:rsid w:val="00A17BE1"/>
    <w:rsid w:val="00A20EA1"/>
    <w:rsid w:val="00A218BC"/>
    <w:rsid w:val="00A26230"/>
    <w:rsid w:val="00A27F24"/>
    <w:rsid w:val="00A32E47"/>
    <w:rsid w:val="00A504A1"/>
    <w:rsid w:val="00A552EE"/>
    <w:rsid w:val="00A56272"/>
    <w:rsid w:val="00A57069"/>
    <w:rsid w:val="00A7044A"/>
    <w:rsid w:val="00A74972"/>
    <w:rsid w:val="00A80434"/>
    <w:rsid w:val="00A80617"/>
    <w:rsid w:val="00A90B26"/>
    <w:rsid w:val="00A90F4A"/>
    <w:rsid w:val="00A923AB"/>
    <w:rsid w:val="00A92787"/>
    <w:rsid w:val="00AA127B"/>
    <w:rsid w:val="00AA4E00"/>
    <w:rsid w:val="00AA6A33"/>
    <w:rsid w:val="00AA78DE"/>
    <w:rsid w:val="00AB5B26"/>
    <w:rsid w:val="00AC6220"/>
    <w:rsid w:val="00AC664D"/>
    <w:rsid w:val="00AC6FF6"/>
    <w:rsid w:val="00AD05AC"/>
    <w:rsid w:val="00AD0ED1"/>
    <w:rsid w:val="00AD2035"/>
    <w:rsid w:val="00AD3E6B"/>
    <w:rsid w:val="00AD3EFA"/>
    <w:rsid w:val="00AD641E"/>
    <w:rsid w:val="00AE2B73"/>
    <w:rsid w:val="00AF0134"/>
    <w:rsid w:val="00AF4AAB"/>
    <w:rsid w:val="00AF5BC0"/>
    <w:rsid w:val="00AF6BD6"/>
    <w:rsid w:val="00B000F7"/>
    <w:rsid w:val="00B010F8"/>
    <w:rsid w:val="00B01E12"/>
    <w:rsid w:val="00B054AE"/>
    <w:rsid w:val="00B068BE"/>
    <w:rsid w:val="00B07722"/>
    <w:rsid w:val="00B12B67"/>
    <w:rsid w:val="00B1621D"/>
    <w:rsid w:val="00B26117"/>
    <w:rsid w:val="00B32F02"/>
    <w:rsid w:val="00B33837"/>
    <w:rsid w:val="00B33B8A"/>
    <w:rsid w:val="00B3647D"/>
    <w:rsid w:val="00B365B0"/>
    <w:rsid w:val="00B415D6"/>
    <w:rsid w:val="00B50704"/>
    <w:rsid w:val="00B53D1F"/>
    <w:rsid w:val="00B55F3D"/>
    <w:rsid w:val="00B5626A"/>
    <w:rsid w:val="00B637C9"/>
    <w:rsid w:val="00B6472F"/>
    <w:rsid w:val="00B67835"/>
    <w:rsid w:val="00B67E63"/>
    <w:rsid w:val="00B741BF"/>
    <w:rsid w:val="00B81B80"/>
    <w:rsid w:val="00B81F38"/>
    <w:rsid w:val="00B86B5F"/>
    <w:rsid w:val="00B92A34"/>
    <w:rsid w:val="00B97EFD"/>
    <w:rsid w:val="00BA5668"/>
    <w:rsid w:val="00BA7EA8"/>
    <w:rsid w:val="00BB56CA"/>
    <w:rsid w:val="00BC73BB"/>
    <w:rsid w:val="00BC777A"/>
    <w:rsid w:val="00BD1407"/>
    <w:rsid w:val="00BD1A64"/>
    <w:rsid w:val="00BD69A1"/>
    <w:rsid w:val="00BE145B"/>
    <w:rsid w:val="00BE2D0E"/>
    <w:rsid w:val="00BF7384"/>
    <w:rsid w:val="00C03838"/>
    <w:rsid w:val="00C0705A"/>
    <w:rsid w:val="00C22E80"/>
    <w:rsid w:val="00C2702A"/>
    <w:rsid w:val="00C32FD7"/>
    <w:rsid w:val="00C35C3C"/>
    <w:rsid w:val="00C36739"/>
    <w:rsid w:val="00C36B47"/>
    <w:rsid w:val="00C43854"/>
    <w:rsid w:val="00C4618A"/>
    <w:rsid w:val="00C503C3"/>
    <w:rsid w:val="00C52606"/>
    <w:rsid w:val="00C547BD"/>
    <w:rsid w:val="00C54DE2"/>
    <w:rsid w:val="00C55400"/>
    <w:rsid w:val="00C628F7"/>
    <w:rsid w:val="00C64A5B"/>
    <w:rsid w:val="00C65FAF"/>
    <w:rsid w:val="00C7498A"/>
    <w:rsid w:val="00C7675B"/>
    <w:rsid w:val="00C77C6E"/>
    <w:rsid w:val="00C83613"/>
    <w:rsid w:val="00C9596D"/>
    <w:rsid w:val="00C97C42"/>
    <w:rsid w:val="00CA2381"/>
    <w:rsid w:val="00CA5C13"/>
    <w:rsid w:val="00CB06CC"/>
    <w:rsid w:val="00CB47D1"/>
    <w:rsid w:val="00CB685F"/>
    <w:rsid w:val="00CB726B"/>
    <w:rsid w:val="00CC1FA4"/>
    <w:rsid w:val="00CD0CD9"/>
    <w:rsid w:val="00CD4829"/>
    <w:rsid w:val="00CE13E3"/>
    <w:rsid w:val="00CE196D"/>
    <w:rsid w:val="00CF23D2"/>
    <w:rsid w:val="00CF591D"/>
    <w:rsid w:val="00D02918"/>
    <w:rsid w:val="00D060AC"/>
    <w:rsid w:val="00D0714E"/>
    <w:rsid w:val="00D2111D"/>
    <w:rsid w:val="00D21559"/>
    <w:rsid w:val="00D35BF3"/>
    <w:rsid w:val="00D37070"/>
    <w:rsid w:val="00D37D34"/>
    <w:rsid w:val="00D45493"/>
    <w:rsid w:val="00D5399D"/>
    <w:rsid w:val="00D556F8"/>
    <w:rsid w:val="00D57389"/>
    <w:rsid w:val="00D61D6A"/>
    <w:rsid w:val="00D6364F"/>
    <w:rsid w:val="00D64606"/>
    <w:rsid w:val="00D666D1"/>
    <w:rsid w:val="00D74252"/>
    <w:rsid w:val="00D77681"/>
    <w:rsid w:val="00D77A47"/>
    <w:rsid w:val="00D82164"/>
    <w:rsid w:val="00D90A34"/>
    <w:rsid w:val="00D91815"/>
    <w:rsid w:val="00D91990"/>
    <w:rsid w:val="00D9358D"/>
    <w:rsid w:val="00DA0868"/>
    <w:rsid w:val="00DA1AF8"/>
    <w:rsid w:val="00DB1DC7"/>
    <w:rsid w:val="00DB4833"/>
    <w:rsid w:val="00DB78DA"/>
    <w:rsid w:val="00DC7973"/>
    <w:rsid w:val="00DC7C74"/>
    <w:rsid w:val="00DD26D3"/>
    <w:rsid w:val="00DD51E7"/>
    <w:rsid w:val="00DD5504"/>
    <w:rsid w:val="00DD5939"/>
    <w:rsid w:val="00DD7482"/>
    <w:rsid w:val="00DE1AA5"/>
    <w:rsid w:val="00DE1D49"/>
    <w:rsid w:val="00DE206F"/>
    <w:rsid w:val="00DE6E52"/>
    <w:rsid w:val="00DE787F"/>
    <w:rsid w:val="00DE7EDC"/>
    <w:rsid w:val="00DF09E6"/>
    <w:rsid w:val="00DF4638"/>
    <w:rsid w:val="00DF74CA"/>
    <w:rsid w:val="00DF7A25"/>
    <w:rsid w:val="00E04278"/>
    <w:rsid w:val="00E15C99"/>
    <w:rsid w:val="00E17819"/>
    <w:rsid w:val="00E21ED1"/>
    <w:rsid w:val="00E3351B"/>
    <w:rsid w:val="00E366C5"/>
    <w:rsid w:val="00E427C1"/>
    <w:rsid w:val="00E46C92"/>
    <w:rsid w:val="00E47F71"/>
    <w:rsid w:val="00E5085E"/>
    <w:rsid w:val="00E559F7"/>
    <w:rsid w:val="00E574D3"/>
    <w:rsid w:val="00E60564"/>
    <w:rsid w:val="00E611E8"/>
    <w:rsid w:val="00E61B74"/>
    <w:rsid w:val="00E61FDA"/>
    <w:rsid w:val="00E62671"/>
    <w:rsid w:val="00E64065"/>
    <w:rsid w:val="00E704FB"/>
    <w:rsid w:val="00E713AD"/>
    <w:rsid w:val="00E7367C"/>
    <w:rsid w:val="00E75CB5"/>
    <w:rsid w:val="00E76139"/>
    <w:rsid w:val="00E76F84"/>
    <w:rsid w:val="00E803DC"/>
    <w:rsid w:val="00E83278"/>
    <w:rsid w:val="00E8757D"/>
    <w:rsid w:val="00E879B0"/>
    <w:rsid w:val="00E974CC"/>
    <w:rsid w:val="00EA0BFA"/>
    <w:rsid w:val="00EA0F3C"/>
    <w:rsid w:val="00EB517E"/>
    <w:rsid w:val="00EB64F1"/>
    <w:rsid w:val="00EB7470"/>
    <w:rsid w:val="00EC154D"/>
    <w:rsid w:val="00EC3A89"/>
    <w:rsid w:val="00EC42A8"/>
    <w:rsid w:val="00EC4468"/>
    <w:rsid w:val="00EC4477"/>
    <w:rsid w:val="00EC78F6"/>
    <w:rsid w:val="00ED3C16"/>
    <w:rsid w:val="00EE2C13"/>
    <w:rsid w:val="00EE4D59"/>
    <w:rsid w:val="00EE6A0F"/>
    <w:rsid w:val="00EF407D"/>
    <w:rsid w:val="00EF59F0"/>
    <w:rsid w:val="00F02157"/>
    <w:rsid w:val="00F0506F"/>
    <w:rsid w:val="00F075C2"/>
    <w:rsid w:val="00F10C04"/>
    <w:rsid w:val="00F111AF"/>
    <w:rsid w:val="00F12D23"/>
    <w:rsid w:val="00F17C14"/>
    <w:rsid w:val="00F209DF"/>
    <w:rsid w:val="00F216BD"/>
    <w:rsid w:val="00F263D6"/>
    <w:rsid w:val="00F31EB8"/>
    <w:rsid w:val="00F335F3"/>
    <w:rsid w:val="00F440BE"/>
    <w:rsid w:val="00F5539E"/>
    <w:rsid w:val="00F6104F"/>
    <w:rsid w:val="00F61CD9"/>
    <w:rsid w:val="00F62B63"/>
    <w:rsid w:val="00F64E4C"/>
    <w:rsid w:val="00F6504C"/>
    <w:rsid w:val="00F672C4"/>
    <w:rsid w:val="00F67F73"/>
    <w:rsid w:val="00F729FB"/>
    <w:rsid w:val="00F74C67"/>
    <w:rsid w:val="00F76258"/>
    <w:rsid w:val="00F85199"/>
    <w:rsid w:val="00F86D90"/>
    <w:rsid w:val="00F9388C"/>
    <w:rsid w:val="00F93ED4"/>
    <w:rsid w:val="00FA3E0B"/>
    <w:rsid w:val="00FB3FE9"/>
    <w:rsid w:val="00FB73D2"/>
    <w:rsid w:val="00FC204B"/>
    <w:rsid w:val="00FC2CB4"/>
    <w:rsid w:val="00FC5C1A"/>
    <w:rsid w:val="00FD7130"/>
    <w:rsid w:val="00FE03E1"/>
    <w:rsid w:val="00FE0559"/>
    <w:rsid w:val="00FF0458"/>
    <w:rsid w:val="00FF1538"/>
    <w:rsid w:val="00FF1E45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81A78"/>
  <w15:docId w15:val="{E0416925-3538-49FB-9AC8-2AA3E657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3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A078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83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14C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24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semiHidden/>
    <w:rsid w:val="00862D36"/>
    <w:rPr>
      <w:color w:val="000080"/>
      <w:u w:val="single"/>
    </w:rPr>
  </w:style>
  <w:style w:type="character" w:styleId="Emfaz">
    <w:name w:val="Emphasis"/>
    <w:basedOn w:val="Numatytasispastraiposriftas"/>
    <w:uiPriority w:val="20"/>
    <w:qFormat/>
    <w:rsid w:val="00D6364F"/>
    <w:rPr>
      <w:i/>
    </w:rPr>
  </w:style>
  <w:style w:type="paragraph" w:styleId="prastasiniatinklio">
    <w:name w:val="Normal (Web)"/>
    <w:basedOn w:val="prastasis"/>
    <w:uiPriority w:val="99"/>
    <w:unhideWhenUsed/>
    <w:rsid w:val="00D37070"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basedOn w:val="Numatytasispastraiposriftas"/>
    <w:uiPriority w:val="22"/>
    <w:qFormat/>
    <w:rsid w:val="00D37070"/>
    <w:rPr>
      <w:b/>
      <w:bCs/>
    </w:rPr>
  </w:style>
  <w:style w:type="character" w:customStyle="1" w:styleId="apple-converted-space">
    <w:name w:val="apple-converted-space"/>
    <w:basedOn w:val="Numatytasispastraiposriftas"/>
    <w:rsid w:val="00D3707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1B8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1B80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basedOn w:val="Numatytasispastraiposriftas"/>
    <w:rsid w:val="0084610E"/>
  </w:style>
  <w:style w:type="character" w:customStyle="1" w:styleId="Antrat1Diagrama">
    <w:name w:val="Antraštė 1 Diagrama"/>
    <w:basedOn w:val="Numatytasispastraiposriftas"/>
    <w:link w:val="Antrat1"/>
    <w:uiPriority w:val="9"/>
    <w:rsid w:val="00A078C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Pagrindinistekstas">
    <w:name w:val="Body Text"/>
    <w:basedOn w:val="prastasis"/>
    <w:link w:val="PagrindinistekstasDiagrama"/>
    <w:rsid w:val="00B068BE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068B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FD7130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F1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5738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TMLiankstoformatuotas">
    <w:name w:val="HTML Preformatted"/>
    <w:basedOn w:val="prastasis"/>
    <w:link w:val="HTMLiankstoformatuotasDiagrama"/>
    <w:rsid w:val="007F3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F3DA1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Style9">
    <w:name w:val="Style9"/>
    <w:basedOn w:val="prastasis"/>
    <w:uiPriority w:val="99"/>
    <w:rsid w:val="000179AA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lang w:val="en-US" w:eastAsia="en-US"/>
    </w:rPr>
  </w:style>
  <w:style w:type="character" w:customStyle="1" w:styleId="FontStyle17">
    <w:name w:val="Font Style17"/>
    <w:rsid w:val="000179AA"/>
    <w:rPr>
      <w:rFonts w:ascii="Times New Roman" w:hAnsi="Times New Roman"/>
      <w:sz w:val="2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14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raopastraipa1">
    <w:name w:val="Sąrašo pastraipa1"/>
    <w:basedOn w:val="prastasis"/>
    <w:uiPriority w:val="34"/>
    <w:qFormat/>
    <w:rsid w:val="00DE78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1900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00A1"/>
  </w:style>
  <w:style w:type="paragraph" w:styleId="Pavadinimas">
    <w:name w:val="Title"/>
    <w:basedOn w:val="prastasis"/>
    <w:next w:val="Paantrat"/>
    <w:link w:val="PavadinimasDiagrama"/>
    <w:qFormat/>
    <w:rsid w:val="008720AE"/>
    <w:pPr>
      <w:suppressAutoHyphens/>
      <w:jc w:val="center"/>
    </w:pPr>
    <w:rPr>
      <w:b/>
      <w:bCs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720A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8720AE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PaantratDiagrama">
    <w:name w:val="Paantraštė Diagrama"/>
    <w:basedOn w:val="Numatytasispastraiposriftas"/>
    <w:link w:val="Paantrat"/>
    <w:rsid w:val="008720AE"/>
    <w:rPr>
      <w:rFonts w:ascii="Cambria" w:eastAsia="Times New Roman" w:hAnsi="Cambria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81F3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81F38"/>
  </w:style>
  <w:style w:type="paragraph" w:customStyle="1" w:styleId="NormalWeb1">
    <w:name w:val="Normal (Web)1"/>
    <w:basedOn w:val="prastasis"/>
    <w:rsid w:val="008A07E8"/>
    <w:pPr>
      <w:widowControl w:val="0"/>
      <w:suppressAutoHyphens/>
      <w:autoSpaceDN w:val="0"/>
    </w:pPr>
    <w:rPr>
      <w:rFonts w:eastAsia="SimSun" w:cs="Tahoma"/>
      <w:kern w:val="3"/>
      <w:lang w:eastAsia="hi-IN" w:bidi="hi-IN"/>
    </w:rPr>
  </w:style>
  <w:style w:type="paragraph" w:customStyle="1" w:styleId="Style10">
    <w:name w:val="Style10"/>
    <w:basedOn w:val="prastasis"/>
    <w:rsid w:val="00AE2B73"/>
    <w:pPr>
      <w:widowControl w:val="0"/>
      <w:autoSpaceDE w:val="0"/>
      <w:autoSpaceDN w:val="0"/>
      <w:adjustRightInd w:val="0"/>
      <w:spacing w:line="221" w:lineRule="exact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783D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paragraph" w:customStyle="1" w:styleId="Default">
    <w:name w:val="Default"/>
    <w:rsid w:val="00FA3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EC15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7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48FC5-350D-416F-94C1-D91C9F96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11409</Words>
  <Characters>6504</Characters>
  <Application>Microsoft Office Word</Application>
  <DocSecurity>0</DocSecurity>
  <Lines>54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Vaitonienė</dc:creator>
  <cp:lastModifiedBy>Asta Baškevičienė</cp:lastModifiedBy>
  <cp:revision>2</cp:revision>
  <cp:lastPrinted>2021-02-25T13:20:00Z</cp:lastPrinted>
  <dcterms:created xsi:type="dcterms:W3CDTF">2023-04-03T09:34:00Z</dcterms:created>
  <dcterms:modified xsi:type="dcterms:W3CDTF">2023-04-03T09:34:00Z</dcterms:modified>
</cp:coreProperties>
</file>