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D3A6" w14:textId="77777777" w:rsidR="00887E4F" w:rsidRDefault="00887E4F" w:rsidP="00887E4F">
      <w:pPr>
        <w:spacing w:line="276" w:lineRule="auto"/>
      </w:pPr>
      <w:r>
        <w:rPr>
          <w:color w:val="000000"/>
        </w:rPr>
        <w:t xml:space="preserve">                                                                                                    PRITARTA</w:t>
      </w:r>
    </w:p>
    <w:p w14:paraId="03CE4294" w14:textId="77777777" w:rsidR="00887E4F" w:rsidRDefault="00887E4F" w:rsidP="00887E4F">
      <w:pPr>
        <w:pStyle w:val="NormalWeb1"/>
        <w:spacing w:line="276" w:lineRule="auto"/>
        <w:ind w:left="5184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Neringos savivaldybės tarybos</w:t>
      </w:r>
    </w:p>
    <w:p w14:paraId="1ADCCEE1" w14:textId="1C912B9D" w:rsidR="00887E4F" w:rsidRDefault="00887E4F" w:rsidP="00887E4F">
      <w:pPr>
        <w:shd w:val="clear" w:color="auto" w:fill="FFFFFF"/>
        <w:spacing w:before="5" w:line="276" w:lineRule="auto"/>
        <w:ind w:left="5190"/>
      </w:pPr>
      <w:r>
        <w:rPr>
          <w:color w:val="000000"/>
          <w:spacing w:val="-5"/>
        </w:rPr>
        <w:t xml:space="preserve">               2022 m. vasario 2</w:t>
      </w:r>
      <w:r w:rsidR="00F17C14">
        <w:rPr>
          <w:color w:val="000000"/>
          <w:spacing w:val="-5"/>
        </w:rPr>
        <w:t>3</w:t>
      </w:r>
      <w:r>
        <w:rPr>
          <w:color w:val="000000"/>
          <w:spacing w:val="-5"/>
        </w:rPr>
        <w:t xml:space="preserve"> d. </w:t>
      </w:r>
    </w:p>
    <w:p w14:paraId="23F96089" w14:textId="7B1DF1A3" w:rsidR="00887E4F" w:rsidRDefault="00887E4F" w:rsidP="00887E4F">
      <w:pPr>
        <w:shd w:val="clear" w:color="auto" w:fill="FFFFFF"/>
        <w:spacing w:before="5" w:line="276" w:lineRule="auto"/>
        <w:ind w:left="5190"/>
      </w:pPr>
      <w:r>
        <w:rPr>
          <w:color w:val="000000"/>
          <w:spacing w:val="-5"/>
        </w:rPr>
        <w:t xml:space="preserve">               sprendimu Nr. T1-</w:t>
      </w:r>
      <w:r w:rsidR="00454F5A">
        <w:rPr>
          <w:color w:val="000000"/>
          <w:spacing w:val="-5"/>
        </w:rPr>
        <w:t>17</w:t>
      </w:r>
    </w:p>
    <w:p w14:paraId="01C5FDA9" w14:textId="77777777" w:rsidR="00887E4F" w:rsidRDefault="00887E4F" w:rsidP="009E0C42">
      <w:pPr>
        <w:jc w:val="center"/>
        <w:rPr>
          <w:b/>
        </w:rPr>
      </w:pPr>
    </w:p>
    <w:p w14:paraId="72275846" w14:textId="77777777" w:rsidR="00887E4F" w:rsidRDefault="00887E4F" w:rsidP="009E0C42">
      <w:pPr>
        <w:jc w:val="center"/>
        <w:rPr>
          <w:b/>
        </w:rPr>
      </w:pPr>
    </w:p>
    <w:p w14:paraId="7B118E8A" w14:textId="23A0FD6F" w:rsidR="009E0C42" w:rsidRDefault="00175BD1" w:rsidP="009E0C42">
      <w:pPr>
        <w:jc w:val="center"/>
        <w:rPr>
          <w:b/>
        </w:rPr>
      </w:pPr>
      <w:r w:rsidRPr="00EE4D59">
        <w:rPr>
          <w:b/>
        </w:rPr>
        <w:t xml:space="preserve">LIUDVIKO RĖZOS </w:t>
      </w:r>
      <w:r w:rsidR="005B2403" w:rsidRPr="00EE4D59">
        <w:rPr>
          <w:b/>
        </w:rPr>
        <w:t>KULTŪROS</w:t>
      </w:r>
      <w:r w:rsidRPr="00EE4D59">
        <w:rPr>
          <w:b/>
        </w:rPr>
        <w:t xml:space="preserve"> CENTRO </w:t>
      </w:r>
    </w:p>
    <w:p w14:paraId="6B9645D5" w14:textId="1F40D0DB" w:rsidR="00676F1C" w:rsidRDefault="00DE787F" w:rsidP="005B2403">
      <w:pPr>
        <w:jc w:val="center"/>
        <w:rPr>
          <w:b/>
        </w:rPr>
      </w:pPr>
      <w:bookmarkStart w:id="0" w:name="_Hlk94190323"/>
      <w:r>
        <w:rPr>
          <w:b/>
        </w:rPr>
        <w:t>20</w:t>
      </w:r>
      <w:r w:rsidR="00D666D1">
        <w:rPr>
          <w:b/>
        </w:rPr>
        <w:t>2</w:t>
      </w:r>
      <w:r w:rsidR="00936149">
        <w:rPr>
          <w:b/>
        </w:rPr>
        <w:t>1</w:t>
      </w:r>
      <w:r>
        <w:rPr>
          <w:b/>
        </w:rPr>
        <w:t xml:space="preserve"> METŲ VEIKLOS</w:t>
      </w:r>
      <w:r w:rsidR="005B2403" w:rsidRPr="00EE4D59">
        <w:rPr>
          <w:b/>
        </w:rPr>
        <w:t xml:space="preserve"> ATASKAIT</w:t>
      </w:r>
      <w:r w:rsidR="00175BD1" w:rsidRPr="00EE4D59">
        <w:rPr>
          <w:b/>
        </w:rPr>
        <w:t>A</w:t>
      </w:r>
      <w:r w:rsidR="005B2403" w:rsidRPr="00EE4D59">
        <w:rPr>
          <w:b/>
        </w:rPr>
        <w:t xml:space="preserve"> </w:t>
      </w:r>
    </w:p>
    <w:bookmarkEnd w:id="0"/>
    <w:p w14:paraId="7F01E666" w14:textId="77777777" w:rsidR="0003545B" w:rsidRDefault="0003545B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6F0D829" w14:textId="559A6DD5" w:rsidR="00F76258" w:rsidRPr="001900A1" w:rsidRDefault="00F76258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Liudviko Rėzos </w:t>
      </w:r>
      <w:r w:rsidR="00742C7B">
        <w:rPr>
          <w:rFonts w:ascii="Times New Roman" w:hAnsi="Times New Roman" w:cs="Times New Roman"/>
          <w:b/>
          <w:sz w:val="24"/>
          <w:szCs w:val="24"/>
          <w:lang w:eastAsia="lt-LT"/>
        </w:rPr>
        <w:t>kultūros centro (toliau – Centras</w:t>
      </w: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) </w:t>
      </w:r>
      <w:r w:rsidRPr="001900A1">
        <w:rPr>
          <w:rFonts w:ascii="Times New Roman" w:hAnsi="Times New Roman" w:cs="Times New Roman"/>
          <w:b/>
          <w:sz w:val="24"/>
          <w:szCs w:val="24"/>
        </w:rPr>
        <w:t>organizacinė veikla:</w:t>
      </w:r>
    </w:p>
    <w:p w14:paraId="60A14F2B" w14:textId="2112A34D" w:rsidR="005260C5" w:rsidRDefault="001900A1" w:rsidP="00F17C1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1.1.</w:t>
      </w:r>
      <w:r w:rsidR="00F76258"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Centro vidaus administravimas</w:t>
      </w: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.</w:t>
      </w:r>
      <w:r w:rsidR="00DB4833">
        <w:rPr>
          <w:rFonts w:ascii="Times New Roman" w:hAnsi="Times New Roman" w:cs="Times New Roman"/>
          <w:sz w:val="24"/>
          <w:szCs w:val="24"/>
          <w:lang w:eastAsia="lt-LT"/>
        </w:rPr>
        <w:t xml:space="preserve"> Centro organizacinė struktūra patvirtinta d</w:t>
      </w:r>
      <w:r w:rsidRPr="001900A1">
        <w:rPr>
          <w:rFonts w:ascii="Times New Roman" w:hAnsi="Times New Roman" w:cs="Times New Roman"/>
          <w:sz w:val="24"/>
          <w:szCs w:val="24"/>
        </w:rPr>
        <w:t>irektoriaus 2015-09-25 įsakymu Nr. V-22</w:t>
      </w:r>
      <w:r w:rsidR="00DB4833">
        <w:rPr>
          <w:rFonts w:ascii="Times New Roman" w:hAnsi="Times New Roman" w:cs="Times New Roman"/>
          <w:sz w:val="24"/>
          <w:szCs w:val="24"/>
        </w:rPr>
        <w:t>.</w:t>
      </w:r>
    </w:p>
    <w:p w14:paraId="27672041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valdymo struktūra pateikiama schemoje:</w:t>
      </w:r>
    </w:p>
    <w:p w14:paraId="3A4D2C37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</w:p>
    <w:p w14:paraId="3DA60236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24AFAF5B" w14:textId="77777777" w:rsidR="009015D6" w:rsidRDefault="006453AA" w:rsidP="009B16BF">
      <w:pPr>
        <w:jc w:val="center"/>
      </w:pPr>
      <w:r>
        <w:rPr>
          <w:noProof/>
        </w:rPr>
        <w:drawing>
          <wp:inline distT="0" distB="0" distL="0" distR="0" wp14:anchorId="65F7C173" wp14:editId="6CC54EC9">
            <wp:extent cx="4286992" cy="311445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51" cy="320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6F274" w14:textId="2FE1FF2B" w:rsidR="00525875" w:rsidRPr="0034120A" w:rsidRDefault="00742C7B" w:rsidP="001E7BF8">
      <w:pPr>
        <w:ind w:firstLine="1296"/>
        <w:jc w:val="both"/>
      </w:pPr>
      <w:r>
        <w:rPr>
          <w:u w:val="single"/>
        </w:rPr>
        <w:t xml:space="preserve">1.2. </w:t>
      </w:r>
      <w:r w:rsidR="009F7620">
        <w:rPr>
          <w:u w:val="single"/>
        </w:rPr>
        <w:t>Centro v</w:t>
      </w:r>
      <w:r>
        <w:rPr>
          <w:u w:val="single"/>
        </w:rPr>
        <w:t>adovo</w:t>
      </w:r>
      <w:r w:rsidR="009F7620">
        <w:rPr>
          <w:u w:val="single"/>
        </w:rPr>
        <w:t xml:space="preserve"> ir darbuotojų</w:t>
      </w:r>
      <w:r>
        <w:rPr>
          <w:u w:val="single"/>
        </w:rPr>
        <w:t xml:space="preserve"> iniciatyvos.</w:t>
      </w:r>
      <w:r>
        <w:t xml:space="preserve"> </w:t>
      </w:r>
      <w:r w:rsidR="003F53C1" w:rsidRPr="000B01C0">
        <w:t>Lietuvos Respublikos kultūros ministerij</w:t>
      </w:r>
      <w:r w:rsidR="003F53C1">
        <w:t>ai</w:t>
      </w:r>
      <w:r w:rsidR="003F53C1" w:rsidRPr="000B01C0">
        <w:t xml:space="preserve"> </w:t>
      </w:r>
      <w:r w:rsidR="0031368D">
        <w:rPr>
          <w:color w:val="000000"/>
        </w:rPr>
        <w:t>ir Lietuvos Respublikos švietimo</w:t>
      </w:r>
      <w:r w:rsidR="007176CA">
        <w:rPr>
          <w:color w:val="000000"/>
        </w:rPr>
        <w:t xml:space="preserve">, </w:t>
      </w:r>
      <w:r w:rsidR="0031368D">
        <w:rPr>
          <w:color w:val="000000"/>
        </w:rPr>
        <w:t xml:space="preserve">mokslo </w:t>
      </w:r>
      <w:r w:rsidR="007176CA">
        <w:rPr>
          <w:color w:val="000000"/>
        </w:rPr>
        <w:t xml:space="preserve">ir sporto </w:t>
      </w:r>
      <w:r w:rsidR="0031368D">
        <w:rPr>
          <w:color w:val="000000"/>
        </w:rPr>
        <w:t xml:space="preserve">ministerijai </w:t>
      </w:r>
      <w:r w:rsidR="00391CE4">
        <w:t>buvo parengtos</w:t>
      </w:r>
      <w:r w:rsidR="00391CE4" w:rsidRPr="000B01C0">
        <w:t xml:space="preserve"> </w:t>
      </w:r>
      <w:r w:rsidR="003F53C1" w:rsidRPr="000B01C0">
        <w:t>4 paraiškos Kultūros pas</w:t>
      </w:r>
      <w:r w:rsidR="003F53C1">
        <w:t>o paslaugoms</w:t>
      </w:r>
      <w:r w:rsidR="003F53C1" w:rsidRPr="000B01C0">
        <w:t xml:space="preserve"> gauti</w:t>
      </w:r>
      <w:r w:rsidR="00391CE4">
        <w:t>;</w:t>
      </w:r>
      <w:r w:rsidR="003F53C1" w:rsidRPr="0034120A">
        <w:t xml:space="preserve"> </w:t>
      </w:r>
      <w:r w:rsidR="00391CE4" w:rsidRPr="0034120A">
        <w:t>Lietuvos mokslų akademijos Mokslo populiarinimo projektų konkursui buvo parengta paraiška „Kuršininkų kalbos kursai“;</w:t>
      </w:r>
      <w:r w:rsidR="008972A6" w:rsidRPr="0034120A">
        <w:t xml:space="preserve"> </w:t>
      </w:r>
      <w:r w:rsidR="0034120A" w:rsidRPr="0034120A">
        <w:t xml:space="preserve">buvo parengtos 4 paraiškos </w:t>
      </w:r>
      <w:r w:rsidR="0034120A" w:rsidRPr="00CB726B">
        <w:t>Lietuvos kultūros taryb</w:t>
      </w:r>
      <w:r w:rsidR="0034120A">
        <w:t>ai:</w:t>
      </w:r>
      <w:r w:rsidR="0034120A" w:rsidRPr="00CB726B">
        <w:t xml:space="preserve"> </w:t>
      </w:r>
      <w:r w:rsidR="0034120A">
        <w:t>„K</w:t>
      </w:r>
      <w:r w:rsidR="0034120A" w:rsidRPr="0034120A">
        <w:t xml:space="preserve">nygos </w:t>
      </w:r>
      <w:r w:rsidR="009120BD">
        <w:t>„</w:t>
      </w:r>
      <w:r w:rsidR="0034120A" w:rsidRPr="0034120A">
        <w:t>Legenda</w:t>
      </w:r>
      <w:r w:rsidR="007176CA">
        <w:t>,</w:t>
      </w:r>
      <w:r w:rsidR="0034120A" w:rsidRPr="0034120A">
        <w:t xml:space="preserve"> slibinas ir Neringa</w:t>
      </w:r>
      <w:r w:rsidR="009120BD">
        <w:t>“</w:t>
      </w:r>
      <w:r w:rsidR="0034120A" w:rsidRPr="0034120A">
        <w:t xml:space="preserve"> leidyba“ </w:t>
      </w:r>
      <w:r w:rsidR="0034120A" w:rsidRPr="00CB726B">
        <w:t>„Folkloro šventė „Pūsk, vėjuži!“, „Tarptautinis jaunųjų vokalistų festivalis</w:t>
      </w:r>
      <w:r w:rsidR="007176CA">
        <w:t>-</w:t>
      </w:r>
      <w:r w:rsidR="0034120A" w:rsidRPr="00CB726B">
        <w:t xml:space="preserve">konkursas </w:t>
      </w:r>
      <w:r w:rsidR="009120BD">
        <w:t>„</w:t>
      </w:r>
      <w:r w:rsidR="0034120A" w:rsidRPr="00CB726B">
        <w:t>Baltic Voice</w:t>
      </w:r>
      <w:r w:rsidR="009120BD">
        <w:t>“</w:t>
      </w:r>
      <w:r w:rsidR="0034120A" w:rsidRPr="00CB726B">
        <w:t>; „Festivalis Juodkrantės kurorto dienos“.</w:t>
      </w:r>
      <w:r w:rsidR="00FB73D2" w:rsidRPr="00FB73D2">
        <w:t xml:space="preserve"> </w:t>
      </w:r>
      <w:r w:rsidR="00FB73D2" w:rsidRPr="00F970B8">
        <w:t>V</w:t>
      </w:r>
      <w:r w:rsidR="006432F5">
        <w:t xml:space="preserve">asaros sezono metu buvo </w:t>
      </w:r>
      <w:r w:rsidR="00564845">
        <w:t xml:space="preserve">priimtas darbuotojas, kuris reguliariai </w:t>
      </w:r>
      <w:r w:rsidR="006432F5">
        <w:t>v</w:t>
      </w:r>
      <w:r w:rsidR="00564845">
        <w:t>edė</w:t>
      </w:r>
      <w:r w:rsidR="006432F5">
        <w:t xml:space="preserve"> edukacij</w:t>
      </w:r>
      <w:r w:rsidR="00564845">
        <w:t>as</w:t>
      </w:r>
      <w:r w:rsidR="006432F5">
        <w:t xml:space="preserve">, </w:t>
      </w:r>
      <w:r w:rsidR="00564845">
        <w:t xml:space="preserve">buvo </w:t>
      </w:r>
      <w:r w:rsidR="006432F5">
        <w:t>vedamos ekskursijos.</w:t>
      </w:r>
      <w:r w:rsidR="00FB73D2" w:rsidRPr="00F970B8">
        <w:t xml:space="preserve"> Vadovo iniciatyva </w:t>
      </w:r>
      <w:r w:rsidR="006432F5">
        <w:t xml:space="preserve">buvo parengti </w:t>
      </w:r>
      <w:r w:rsidR="001E7BF8">
        <w:t xml:space="preserve">L. Rėzos g. 8 B </w:t>
      </w:r>
      <w:r w:rsidR="006432F5">
        <w:t>inžinerinių tinklų (vandentiekio ir elektros) projektai, koordinuojami tinklų įvedimo darbai, smulkūs pastato remonto darbai,</w:t>
      </w:r>
      <w:r w:rsidR="001E7BF8">
        <w:t xml:space="preserve"> buvo atlikti sklypo L. Rėzos </w:t>
      </w:r>
      <w:r w:rsidR="00E923E7">
        <w:t xml:space="preserve">g. </w:t>
      </w:r>
      <w:r w:rsidR="001E7BF8">
        <w:t xml:space="preserve">54 kadastriniai matavimo darbai, nustatytos sklypo ribos, </w:t>
      </w:r>
      <w:r w:rsidR="006432F5">
        <w:t>b</w:t>
      </w:r>
      <w:r w:rsidR="003F53C1" w:rsidRPr="0034120A">
        <w:t xml:space="preserve">uvo parengta </w:t>
      </w:r>
      <w:r w:rsidR="00FE0559" w:rsidRPr="0034120A">
        <w:t>vidaus kontrolės politik</w:t>
      </w:r>
      <w:r w:rsidR="00E923E7">
        <w:t>a</w:t>
      </w:r>
      <w:r w:rsidR="0034120A" w:rsidRPr="0034120A">
        <w:t xml:space="preserve">, </w:t>
      </w:r>
      <w:r w:rsidRPr="0034120A">
        <w:t>20</w:t>
      </w:r>
      <w:r w:rsidR="00F209DF" w:rsidRPr="0034120A">
        <w:t>2</w:t>
      </w:r>
      <w:r w:rsidR="0034120A" w:rsidRPr="0034120A">
        <w:t>2</w:t>
      </w:r>
      <w:r w:rsidRPr="0034120A">
        <w:t>–</w:t>
      </w:r>
      <w:r w:rsidR="007B0091" w:rsidRPr="0034120A">
        <w:t>202</w:t>
      </w:r>
      <w:r w:rsidR="0034120A" w:rsidRPr="0034120A">
        <w:t>4</w:t>
      </w:r>
      <w:r w:rsidR="007B0091" w:rsidRPr="0034120A">
        <w:t xml:space="preserve"> </w:t>
      </w:r>
      <w:r w:rsidR="00726EE7" w:rsidRPr="0034120A">
        <w:t xml:space="preserve">metų </w:t>
      </w:r>
      <w:r w:rsidR="007B0091" w:rsidRPr="0034120A">
        <w:t>strategin</w:t>
      </w:r>
      <w:r w:rsidR="0034120A" w:rsidRPr="0034120A">
        <w:t>is</w:t>
      </w:r>
      <w:r w:rsidR="007B0091" w:rsidRPr="0034120A">
        <w:t xml:space="preserve"> </w:t>
      </w:r>
      <w:r w:rsidR="00DA0868" w:rsidRPr="0034120A">
        <w:t xml:space="preserve">veiklos </w:t>
      </w:r>
      <w:r w:rsidR="007B0091" w:rsidRPr="0034120A">
        <w:t>plan</w:t>
      </w:r>
      <w:r w:rsidR="0034120A" w:rsidRPr="0034120A">
        <w:t>as</w:t>
      </w:r>
      <w:r w:rsidR="006432F5">
        <w:t xml:space="preserve">. </w:t>
      </w:r>
    </w:p>
    <w:p w14:paraId="70F00F0D" w14:textId="77777777" w:rsidR="004F7CC0" w:rsidRDefault="004F7CC0" w:rsidP="0000124E">
      <w:pPr>
        <w:ind w:left="720"/>
        <w:jc w:val="both"/>
      </w:pPr>
    </w:p>
    <w:p w14:paraId="13548532" w14:textId="612ABE24" w:rsidR="00B55F3D" w:rsidRDefault="004F7CC0" w:rsidP="003E44F8">
      <w:pPr>
        <w:ind w:firstLine="1134"/>
        <w:jc w:val="both"/>
      </w:pPr>
      <w:r w:rsidRPr="00742C7B">
        <w:rPr>
          <w:u w:val="single"/>
        </w:rPr>
        <w:t xml:space="preserve">1.3. Asmeninis </w:t>
      </w:r>
      <w:r w:rsidR="00790F7D">
        <w:rPr>
          <w:u w:val="single"/>
        </w:rPr>
        <w:t xml:space="preserve">vadovo ir darbuotojų </w:t>
      </w:r>
      <w:r w:rsidRPr="00742C7B">
        <w:rPr>
          <w:u w:val="single"/>
        </w:rPr>
        <w:t>tobulėjimas</w:t>
      </w:r>
      <w:r w:rsidR="00293E17" w:rsidRPr="00D666D1">
        <w:t>:</w:t>
      </w:r>
      <w:r w:rsidR="00D666D1" w:rsidRPr="00D666D1">
        <w:t xml:space="preserve"> </w:t>
      </w:r>
      <w:r w:rsidR="00187102">
        <w:t xml:space="preserve">vasario 3 d. </w:t>
      </w:r>
      <w:r w:rsidR="00D2111D">
        <w:t xml:space="preserve">„Sabelijos“ organizuoti </w:t>
      </w:r>
      <w:r w:rsidR="00187102">
        <w:t>nuotoliniai civilinės saugos</w:t>
      </w:r>
      <w:r w:rsidR="00187102" w:rsidRPr="00A20EA1">
        <w:t xml:space="preserve"> </w:t>
      </w:r>
      <w:r w:rsidR="00187102">
        <w:t>kursai;</w:t>
      </w:r>
      <w:r w:rsidR="008972A6">
        <w:t xml:space="preserve"> </w:t>
      </w:r>
      <w:r w:rsidR="00187102">
        <w:t xml:space="preserve">vasario 4 d. </w:t>
      </w:r>
      <w:r w:rsidR="00D2111D">
        <w:t xml:space="preserve">„Sabelijos“ organizuoti </w:t>
      </w:r>
      <w:r w:rsidR="00187102">
        <w:t>nuotoliniai gaisrinės saugos</w:t>
      </w:r>
      <w:r w:rsidR="00187102" w:rsidRPr="00A20EA1">
        <w:t xml:space="preserve"> </w:t>
      </w:r>
      <w:r w:rsidR="00187102">
        <w:t>kursai;</w:t>
      </w:r>
      <w:r w:rsidR="006A0C24">
        <w:t xml:space="preserve"> </w:t>
      </w:r>
      <w:r w:rsidR="00187102">
        <w:t>k</w:t>
      </w:r>
      <w:r w:rsidR="00A20EA1" w:rsidRPr="00A20EA1">
        <w:t xml:space="preserve">ovo 4 d. </w:t>
      </w:r>
      <w:r w:rsidR="00187102">
        <w:t>„</w:t>
      </w:r>
      <w:r w:rsidR="00A20EA1" w:rsidRPr="00A20EA1">
        <w:t>Dorevi</w:t>
      </w:r>
      <w:r w:rsidR="00187102">
        <w:t>“</w:t>
      </w:r>
      <w:r w:rsidR="00A20EA1" w:rsidRPr="00A20EA1">
        <w:t xml:space="preserve"> personalo mokymų centro organizuot</w:t>
      </w:r>
      <w:r w:rsidR="00187102">
        <w:t>i</w:t>
      </w:r>
      <w:r w:rsidR="00A20EA1" w:rsidRPr="00A20EA1">
        <w:t xml:space="preserve"> kurs</w:t>
      </w:r>
      <w:r w:rsidR="00187102">
        <w:t>ai</w:t>
      </w:r>
      <w:r w:rsidR="00A20EA1" w:rsidRPr="00A20EA1">
        <w:t xml:space="preserve"> „Pajusk savyje dizainerį su Canva“</w:t>
      </w:r>
      <w:r w:rsidR="00187102">
        <w:t>;</w:t>
      </w:r>
      <w:r w:rsidR="00A20EA1" w:rsidRPr="00A20EA1">
        <w:t xml:space="preserve"> </w:t>
      </w:r>
      <w:r w:rsidR="00187102">
        <w:t>k</w:t>
      </w:r>
      <w:r w:rsidR="00A20EA1" w:rsidRPr="00A20EA1">
        <w:t xml:space="preserve">ovo 18 d. </w:t>
      </w:r>
      <w:r w:rsidR="00187102">
        <w:t>„</w:t>
      </w:r>
      <w:r w:rsidR="00A20EA1" w:rsidRPr="00A20EA1">
        <w:t>Dorevi</w:t>
      </w:r>
      <w:r w:rsidR="00187102">
        <w:t>“</w:t>
      </w:r>
      <w:r w:rsidR="00A20EA1" w:rsidRPr="00A20EA1">
        <w:t xml:space="preserve"> personalo mokymų centro organizuota</w:t>
      </w:r>
      <w:r w:rsidR="00187102">
        <w:t>s</w:t>
      </w:r>
      <w:r w:rsidR="00A20EA1" w:rsidRPr="00A20EA1">
        <w:t xml:space="preserve"> seminar</w:t>
      </w:r>
      <w:r w:rsidR="00187102">
        <w:t>as</w:t>
      </w:r>
      <w:r w:rsidR="00A20EA1" w:rsidRPr="00A20EA1">
        <w:t xml:space="preserve"> „Supaprastinti ir mažos vertės viešieji pirkimai: planavimas ir vykdymas“</w:t>
      </w:r>
      <w:r w:rsidR="00187102">
        <w:t>;</w:t>
      </w:r>
      <w:r w:rsidR="00A20EA1" w:rsidRPr="00A20EA1">
        <w:t xml:space="preserve"> </w:t>
      </w:r>
      <w:r w:rsidR="00187102">
        <w:t xml:space="preserve">kovo 23 d. nuotolinė </w:t>
      </w:r>
      <w:r w:rsidR="00187102" w:rsidRPr="00002EAB">
        <w:t>antikorupcinio švietimo paskait</w:t>
      </w:r>
      <w:r w:rsidR="00187102">
        <w:t>a</w:t>
      </w:r>
      <w:r w:rsidR="00187102" w:rsidRPr="00002EAB">
        <w:t xml:space="preserve"> „Korupcijos samprata ir pasireiškimas Lietuvoje. Dovanų politika</w:t>
      </w:r>
      <w:r w:rsidR="00187102">
        <w:t>“;</w:t>
      </w:r>
      <w:r w:rsidR="008972A6">
        <w:t xml:space="preserve"> </w:t>
      </w:r>
      <w:r w:rsidR="003F53C1">
        <w:t>kovo 24 d. duomenų apsaugos mokymai</w:t>
      </w:r>
      <w:r w:rsidR="008972A6">
        <w:t xml:space="preserve">; </w:t>
      </w:r>
      <w:r w:rsidR="00D91990" w:rsidRPr="00170680">
        <w:t>balandžio 7</w:t>
      </w:r>
      <w:r w:rsidR="00E923E7">
        <w:t>–</w:t>
      </w:r>
      <w:r w:rsidR="00D91990" w:rsidRPr="00170680">
        <w:t xml:space="preserve">9 d. mokymai „Suaugusiųjų neformaliojo švietimo ir tęstinio mokymosi planavimas“, </w:t>
      </w:r>
      <w:r w:rsidR="00E923E7" w:rsidRPr="00170680">
        <w:t>organizator</w:t>
      </w:r>
      <w:r w:rsidR="00E923E7">
        <w:t>ė</w:t>
      </w:r>
      <w:r w:rsidR="00E923E7" w:rsidRPr="00170680">
        <w:t xml:space="preserve"> </w:t>
      </w:r>
      <w:r w:rsidR="00D91990" w:rsidRPr="00170680">
        <w:t>V</w:t>
      </w:r>
      <w:r w:rsidR="00E923E7">
        <w:t>iešoji įstaiga</w:t>
      </w:r>
      <w:r w:rsidR="00D91990" w:rsidRPr="00170680">
        <w:t xml:space="preserve"> Tyrimų ir mokym</w:t>
      </w:r>
      <w:r w:rsidR="00E923E7">
        <w:t>ų</w:t>
      </w:r>
      <w:r w:rsidR="00D91990" w:rsidRPr="00170680">
        <w:t xml:space="preserve"> centras;  balandžio 9 d. kvalifikacijos tobulinimo seminaras „Skambioji daina 2021“, kurį organizavo Plungės paslaugų </w:t>
      </w:r>
      <w:r w:rsidR="00D91990" w:rsidRPr="00170680">
        <w:lastRenderedPageBreak/>
        <w:t xml:space="preserve">ir švietimo pagalbos centras;  </w:t>
      </w:r>
      <w:r w:rsidR="00E62671">
        <w:t>b</w:t>
      </w:r>
      <w:r w:rsidR="000811B3" w:rsidRPr="00B55F3D">
        <w:t>irželio 3</w:t>
      </w:r>
      <w:r w:rsidR="000F574E">
        <w:t>–</w:t>
      </w:r>
      <w:r w:rsidR="000811B3" w:rsidRPr="00B55F3D">
        <w:t>30 d. nuotolini</w:t>
      </w:r>
      <w:r w:rsidR="000811B3">
        <w:t>ai</w:t>
      </w:r>
      <w:r w:rsidR="000811B3" w:rsidRPr="00B55F3D">
        <w:t xml:space="preserve"> kvalifikacijos kėlimo kurs</w:t>
      </w:r>
      <w:r w:rsidR="000811B3">
        <w:t>ai</w:t>
      </w:r>
      <w:r w:rsidR="000811B3" w:rsidRPr="00B55F3D">
        <w:t xml:space="preserve"> kultūros centrų vadovams</w:t>
      </w:r>
      <w:r w:rsidR="000811B3">
        <w:t xml:space="preserve"> ir jų pavaduotojams</w:t>
      </w:r>
      <w:r w:rsidR="000811B3" w:rsidRPr="00B55F3D">
        <w:t>, kuri</w:t>
      </w:r>
      <w:r w:rsidR="000811B3">
        <w:t>u</w:t>
      </w:r>
      <w:r w:rsidR="000811B3" w:rsidRPr="00B55F3D">
        <w:t>os organizavo Lietuvos nacionalinis</w:t>
      </w:r>
      <w:r w:rsidR="000811B3" w:rsidRPr="00170680">
        <w:t xml:space="preserve"> </w:t>
      </w:r>
      <w:r w:rsidR="000811B3" w:rsidRPr="00260E8F">
        <w:t>kultūros centras</w:t>
      </w:r>
      <w:r w:rsidR="000811B3">
        <w:t>;</w:t>
      </w:r>
      <w:r w:rsidR="008972A6">
        <w:t xml:space="preserve"> </w:t>
      </w:r>
      <w:r w:rsidR="00E62671">
        <w:t>s</w:t>
      </w:r>
      <w:r w:rsidR="00A20EA1" w:rsidRPr="00A20EA1">
        <w:t>palio 15 d. metodinė praktinė</w:t>
      </w:r>
      <w:r w:rsidR="000811B3">
        <w:t xml:space="preserve"> </w:t>
      </w:r>
      <w:r w:rsidR="00A20EA1" w:rsidRPr="00A20EA1">
        <w:t>konferencij</w:t>
      </w:r>
      <w:r w:rsidR="000811B3">
        <w:t>a</w:t>
      </w:r>
      <w:r w:rsidR="00A20EA1" w:rsidRPr="00A20EA1">
        <w:t xml:space="preserve"> „Penktojo regiono tapatybė – išskirtinumas ir unikalumas“, kurią organizavo Šilutės rajono Švietimo pagalbos tarnyba, Šilutės Hugo Šojaus muzieju</w:t>
      </w:r>
      <w:r w:rsidR="00E62671">
        <w:t>s</w:t>
      </w:r>
      <w:r w:rsidR="008972A6">
        <w:t>; r</w:t>
      </w:r>
      <w:r w:rsidR="00E47F71" w:rsidRPr="00260E8F">
        <w:t xml:space="preserve">ugsėjo 9 d. </w:t>
      </w:r>
      <w:r w:rsidR="00E62671">
        <w:t>nuotolinis seminaras</w:t>
      </w:r>
      <w:r w:rsidR="008972A6">
        <w:t xml:space="preserve"> </w:t>
      </w:r>
      <w:r w:rsidR="00E47F71" w:rsidRPr="00260E8F">
        <w:t>„Galimybių pasas nuo rugsėjo 13 d. Gairės darbdaviams“, kurį organizavo VZ akademija</w:t>
      </w:r>
      <w:r w:rsidR="00260E8F" w:rsidRPr="00260E8F">
        <w:t xml:space="preserve">; </w:t>
      </w:r>
      <w:r w:rsidR="00260E8F">
        <w:t>spalio 7</w:t>
      </w:r>
      <w:r w:rsidR="000F574E">
        <w:t>–</w:t>
      </w:r>
      <w:r w:rsidR="00260E8F">
        <w:t>8 d. kvalifikacijos tobulinimo seminar</w:t>
      </w:r>
      <w:r w:rsidR="00E62671">
        <w:t>as</w:t>
      </w:r>
      <w:r w:rsidR="00260E8F">
        <w:t xml:space="preserve"> </w:t>
      </w:r>
      <w:r w:rsidR="00260E8F" w:rsidRPr="00260E8F">
        <w:t xml:space="preserve">„Regiono kultūros sektoriaus ir nevyriausybinių organizacijų dialogo kūrimas bei bendradarbiavimo perspektyvos, kuriant naujus kultūros produktus“, </w:t>
      </w:r>
      <w:r w:rsidR="00D666D1" w:rsidRPr="00260E8F">
        <w:t>kurį organizavo Šilutės kultūros ir pramogų centras</w:t>
      </w:r>
      <w:r w:rsidR="00E62671">
        <w:t>;</w:t>
      </w:r>
      <w:r w:rsidR="008972A6">
        <w:t xml:space="preserve"> </w:t>
      </w:r>
      <w:r w:rsidR="00D91990" w:rsidRPr="00170680">
        <w:t xml:space="preserve">spalio 18 d. kvalifikacijos tobulinimo seminaras „Choro dainininkų vokalinių įgūdžių tobulinimas, problemų sprendimo būdai“, kurį organizavo Šiaulių miesto savivaldybės švietimo centras; </w:t>
      </w:r>
      <w:r w:rsidR="00260E8F" w:rsidRPr="00260E8F">
        <w:t>l</w:t>
      </w:r>
      <w:r w:rsidR="00D666D1" w:rsidRPr="00260E8F">
        <w:t xml:space="preserve">apkričio </w:t>
      </w:r>
      <w:r w:rsidR="004F1A30" w:rsidRPr="00260E8F">
        <w:t>9–10 d</w:t>
      </w:r>
      <w:r w:rsidR="00260E8F" w:rsidRPr="00260E8F">
        <w:t>.</w:t>
      </w:r>
      <w:r w:rsidR="004F1A30" w:rsidRPr="00260E8F">
        <w:t xml:space="preserve"> </w:t>
      </w:r>
      <w:r w:rsidR="00D666D1" w:rsidRPr="00260E8F">
        <w:t>kvalifikacijos tobulinimo kurs</w:t>
      </w:r>
      <w:r w:rsidR="00E62671">
        <w:t>ai</w:t>
      </w:r>
      <w:r w:rsidR="00D666D1" w:rsidRPr="00260E8F">
        <w:t xml:space="preserve"> kultūros centrų vadovams</w:t>
      </w:r>
      <w:r w:rsidR="00E62671">
        <w:t xml:space="preserve"> ir jų pavaduotojams</w:t>
      </w:r>
      <w:r w:rsidR="00260E8F" w:rsidRPr="00260E8F">
        <w:t>,</w:t>
      </w:r>
      <w:r w:rsidR="00D666D1" w:rsidRPr="00260E8F">
        <w:t xml:space="preserve"> </w:t>
      </w:r>
      <w:r w:rsidR="00260E8F" w:rsidRPr="00260E8F">
        <w:t>kur</w:t>
      </w:r>
      <w:r w:rsidR="00742D7D">
        <w:t>iuos</w:t>
      </w:r>
      <w:r w:rsidR="00260E8F" w:rsidRPr="00260E8F">
        <w:t xml:space="preserve"> organizavo Lietuvos nacionalinis kultūros centras</w:t>
      </w:r>
      <w:r w:rsidR="00E62671">
        <w:t>;</w:t>
      </w:r>
      <w:r w:rsidR="00D91990" w:rsidRPr="00170680">
        <w:t xml:space="preserve"> gruodžio 1</w:t>
      </w:r>
      <w:r w:rsidR="000F574E">
        <w:t>–</w:t>
      </w:r>
      <w:r w:rsidR="00D91990" w:rsidRPr="00170680">
        <w:t>17 d. nuotoliniai</w:t>
      </w:r>
      <w:r w:rsidR="00170680" w:rsidRPr="00170680">
        <w:t xml:space="preserve"> kvalifikacijos tobulinimo mokymai kultūros centrų kultūros ir meno darbuotojams, kur</w:t>
      </w:r>
      <w:r w:rsidR="00742D7D">
        <w:t>iuos</w:t>
      </w:r>
      <w:r w:rsidR="00170680" w:rsidRPr="00170680">
        <w:t xml:space="preserve"> organizavo </w:t>
      </w:r>
      <w:r w:rsidR="00170680" w:rsidRPr="00260E8F">
        <w:t>Lietuvos nacionalinis kultūros centras</w:t>
      </w:r>
      <w:r w:rsidR="00170680">
        <w:t>.</w:t>
      </w:r>
    </w:p>
    <w:p w14:paraId="74B881F7" w14:textId="77777777" w:rsidR="006A0C24" w:rsidRDefault="006A0C24" w:rsidP="00B365B0">
      <w:pPr>
        <w:pStyle w:val="Sraopastraipa"/>
        <w:tabs>
          <w:tab w:val="left" w:pos="34"/>
        </w:tabs>
        <w:ind w:left="3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14:paraId="79014506" w14:textId="25E5A7B3" w:rsidR="00FF1538" w:rsidRPr="00FF1538" w:rsidRDefault="00AC6FF6" w:rsidP="006A0C24">
      <w:pPr>
        <w:pStyle w:val="Sraopastraipa"/>
        <w:tabs>
          <w:tab w:val="left" w:pos="34"/>
        </w:tabs>
        <w:ind w:left="34" w:firstLine="1100"/>
        <w:jc w:val="both"/>
      </w:pPr>
      <w:r w:rsidRPr="00FB73D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1.4. Projektinė veikla</w:t>
      </w:r>
      <w:r w:rsidR="008C5795" w:rsidRPr="00FB73D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.</w:t>
      </w:r>
      <w:r w:rsidR="008C5795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62671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Pradėtas įgyvendinti projektas </w:t>
      </w:r>
      <w:r w:rsidR="00161B5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„Istorinės ekspozicijos apie Juodkrantės žvejų gyvenimą atnaujinimas“</w:t>
      </w:r>
      <w:r w:rsidR="00E62671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, finansuojamas pagal Nacionalinės mokėjimo agentūros prie Žemės ūkio ministerijos priemonę</w:t>
      </w:r>
      <w:r w:rsidR="008972A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; b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uvo įgyvendint</w:t>
      </w:r>
      <w:r w:rsidR="008972A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kultūros tarybos iš dalies finansuot</w:t>
      </w:r>
      <w:r w:rsidR="008972A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projekta</w:t>
      </w:r>
      <w:r w:rsidR="008972A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i:</w:t>
      </w:r>
      <w:r w:rsidR="00D2111D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„Folkloro šventė „Pūsk, vėjuži!“, „Tarptautinis jaunųjų vokalistų festivalis-konkursas </w:t>
      </w:r>
      <w:r w:rsidR="008B024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Baltic Voice</w:t>
      </w:r>
      <w:r w:rsidR="008B0241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; „Festivalis Juodkrantės kurorto dienos“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FIXUS 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(projekto vykdytoja</w:t>
      </w:r>
      <w:r w:rsidR="00312BF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Kultūros paveldo centras, pagrindinis partneris Kultūros infrastruktūros centras) 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metu buvo atlikt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a išsami kultūros paveldo saugomo pastato L. Rėzos g. 8 B</w:t>
      </w:r>
      <w:r w:rsidR="00742D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būklės analizė, pateiktos rekomendacijos ir atlikti</w:t>
      </w:r>
      <w:r w:rsidR="00861936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smulkūs remonto darbai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35BF3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2BF5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projektą</w:t>
      </w:r>
      <w:r w:rsidR="00312BF5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„Neringa – Lietuvos kultūros sostinė“ 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buvo 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uotos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atvir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s diskusij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paskaitos</w:t>
      </w:r>
      <w:r w:rsidR="0082148F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„Kurorto aukso amžius“. 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Prisidėta prie projektų </w:t>
      </w:r>
      <w:r w:rsidR="00781AD4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įgyvendinimo Juodkrantėje: 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r w:rsidR="007966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filharmonijos organizuotas tarptautinis kamerinės muzikos festivalis „Kuršių nerija“, asociacijos Audiovizualinių menų industrijos inkubatoriaus organizuotos tarptautinės kūrybinės dirbtuvės „Vasaros Media Studija“, Kintų muzikos festivali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žiazo karavanas</w:t>
      </w:r>
      <w:r w:rsidR="00C4385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4B2187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tarptautinis festivalis 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„Impresijos“</w:t>
      </w:r>
      <w:r w:rsidR="00781AD4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„V</w:t>
      </w:r>
      <w:r w:rsidR="00781AD4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ėtrungių kelias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271396">
        <w:rPr>
          <w:rFonts w:ascii="Times New Roman" w:eastAsia="Times New Roman" w:hAnsi="Times New Roman" w:cs="Times New Roman"/>
          <w:sz w:val="24"/>
          <w:szCs w:val="24"/>
          <w:lang w:eastAsia="lt-LT"/>
        </w:rPr>
        <w:t>, tarptautinis alternatyvaus kino f</w:t>
      </w:r>
      <w:r w:rsidR="00271396" w:rsidRPr="002713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estivalis „Suspaustas </w:t>
      </w:r>
      <w:r w:rsidR="00271396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271396" w:rsidRPr="00271396">
        <w:rPr>
          <w:rFonts w:ascii="Times New Roman" w:eastAsia="Times New Roman" w:hAnsi="Times New Roman" w:cs="Times New Roman"/>
          <w:sz w:val="24"/>
          <w:szCs w:val="24"/>
          <w:lang w:eastAsia="lt-LT"/>
        </w:rPr>
        <w:t>aikas“</w:t>
      </w:r>
      <w:r w:rsidR="00CB726B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Dalyvauta </w:t>
      </w:r>
      <w:r w:rsidR="00CA5C13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>Neringos savivaldybės administracij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CA5C13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kartu su Kaliningrado srities E. F. Svetlanovo filharmonij</w:t>
      </w:r>
      <w:r w:rsidR="008B024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CA5C13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CA5C13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„Bendradarbiavimas per sieną, išsaugant kultūros paveldą turizmui ir bendruomenei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“,</w:t>
      </w:r>
      <w:r w:rsidR="00AF5BC0" w:rsidRPr="00CB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401B" w:rsidRP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rajono, Neringos ir Polesko savivaldybės 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3401B" w:rsidRP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73401B" w:rsidRP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„Bendradarbiavimas per sieną nuo kranto iki kranto“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COVID</w:t>
      </w:r>
      <w:r w:rsidR="00796695">
        <w:rPr>
          <w:rFonts w:ascii="Times New Roman" w:eastAsia="Times New Roman" w:hAnsi="Times New Roman" w:cs="Times New Roman"/>
          <w:sz w:val="24"/>
          <w:szCs w:val="24"/>
          <w:lang w:eastAsia="lt-LT"/>
        </w:rPr>
        <w:t>-19</w:t>
      </w:r>
      <w:r w:rsidR="007340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pandemijos nebuvo įgyvendintos </w:t>
      </w:r>
      <w:r w:rsidR="00781AD4" w:rsidRPr="006A0C24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mainų paramos fond</w:t>
      </w:r>
      <w:r w:rsidR="0027258B" w:rsidRPr="006A0C24">
        <w:rPr>
          <w:rFonts w:ascii="Times New Roman" w:eastAsia="Times New Roman" w:hAnsi="Times New Roman" w:cs="Times New Roman"/>
          <w:sz w:val="24"/>
          <w:szCs w:val="24"/>
          <w:lang w:eastAsia="lt-LT"/>
        </w:rPr>
        <w:t>o finansuojamos</w:t>
      </w:r>
      <w:r w:rsidR="00781AD4" w:rsidRPr="006A0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7258B" w:rsidRPr="006A0C24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81AD4" w:rsidRPr="006A0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rogramos </w:t>
      </w:r>
      <w:r w:rsidR="00781AD4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>Erasmus+ projekt</w:t>
      </w:r>
      <w:r w:rsidR="0073401B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781AD4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„Liudviko Rėzos kultūros centro edukacinės ir projektinės veiklos tobulinimas“ </w:t>
      </w:r>
      <w:r w:rsidR="0073401B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veiklos.</w:t>
      </w:r>
    </w:p>
    <w:p w14:paraId="40C1F775" w14:textId="765F485A" w:rsidR="00DE1D49" w:rsidRPr="00D21559" w:rsidRDefault="008C5795" w:rsidP="0091174D">
      <w:pPr>
        <w:pStyle w:val="Antrat2"/>
        <w:shd w:val="clear" w:color="auto" w:fill="FFFFFF"/>
        <w:spacing w:before="0" w:after="225"/>
        <w:ind w:firstLine="127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66C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1.5. B</w:t>
      </w:r>
      <w:r w:rsidR="00AC6FF6" w:rsidRPr="00E366C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endradarbiavimas</w:t>
      </w:r>
      <w:r w:rsidRPr="00E366C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.</w:t>
      </w:r>
      <w:r w:rsidRPr="00E366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1D49" w:rsidRPr="00E366C5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920A67" w:rsidRPr="00E366C5">
        <w:rPr>
          <w:rFonts w:ascii="Times New Roman" w:eastAsia="Times New Roman" w:hAnsi="Times New Roman" w:cs="Times New Roman"/>
          <w:color w:val="auto"/>
          <w:sz w:val="24"/>
          <w:szCs w:val="24"/>
        </w:rPr>
        <w:t>asirašyt</w:t>
      </w:r>
      <w:r w:rsidR="00796695">
        <w:rPr>
          <w:rFonts w:ascii="Times New Roman" w:eastAsia="Times New Roman" w:hAnsi="Times New Roman" w:cs="Times New Roman"/>
          <w:color w:val="auto"/>
          <w:sz w:val="24"/>
          <w:szCs w:val="24"/>
        </w:rPr>
        <w:t>os</w:t>
      </w:r>
      <w:r w:rsidR="00920A67" w:rsidRPr="00E366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366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 </w:t>
      </w:r>
      <w:r w:rsidR="00920A67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bendradarbiavimo suta</w:t>
      </w:r>
      <w:r w:rsidR="00E366C5">
        <w:rPr>
          <w:rFonts w:ascii="Times New Roman" w:eastAsia="Times New Roman" w:hAnsi="Times New Roman" w:cs="Times New Roman"/>
          <w:color w:val="auto"/>
          <w:sz w:val="24"/>
          <w:szCs w:val="24"/>
        </w:rPr>
        <w:t>rtys</w:t>
      </w:r>
      <w:r w:rsidR="00770E9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su: </w:t>
      </w:r>
      <w:r w:rsidR="00025432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Klaipėdos rajono savivaldybės Priekulės kultūros centr</w:t>
      </w:r>
      <w:r w:rsid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u,</w:t>
      </w:r>
      <w:r w:rsidR="00025432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VšĮ </w:t>
      </w:r>
      <w:r w:rsid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025432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Taško teatras</w:t>
      </w:r>
      <w:r w:rsid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“,</w:t>
      </w:r>
      <w:r w:rsidR="00025432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Mažeikių vaikų ir jaunimo daugiafunkci</w:t>
      </w:r>
      <w:r w:rsidR="00E366C5">
        <w:rPr>
          <w:rFonts w:ascii="Times New Roman" w:eastAsia="Times New Roman" w:hAnsi="Times New Roman" w:cs="Times New Roman"/>
          <w:color w:val="auto"/>
          <w:sz w:val="24"/>
          <w:szCs w:val="24"/>
        </w:rPr>
        <w:t>niu</w:t>
      </w:r>
      <w:r w:rsidR="00025432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centr</w:t>
      </w:r>
      <w:r w:rsidR="00E366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u, </w:t>
      </w:r>
      <w:r w:rsidR="00D21559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VšĮ </w:t>
      </w:r>
      <w:r w:rsidR="00E366C5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D21559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Kūrybos kišenė“, VšĮ </w:t>
      </w:r>
      <w:r w:rsidR="00403FFF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D21559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Vikinma“. </w:t>
      </w:r>
      <w:r w:rsidR="00783D38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Nuolat 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bendradarbiaujame su asociacija Juodkrantės bendruomen</w:t>
      </w:r>
      <w:r w:rsidR="00783D38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ė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70E9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Kuršių nerijos nacionaliniu parku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770E9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Neringos gimnazija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Nidos kultūros ir turizmo informacijos centru</w:t>
      </w:r>
      <w:r w:rsidR="00754D93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„Agila“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eringos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meno mokykla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783D38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Neringos savivaldybės Viktoro Miliūno viešąja biblioteka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783D38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34E04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Neringos muziejai</w:t>
      </w:r>
      <w:r w:rsidR="008A2CC0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793B8B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>, Neringos sporto mokykla.</w:t>
      </w:r>
      <w:r w:rsidR="00920A67" w:rsidRPr="00D215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F5F15D8" w14:textId="4067AC17" w:rsidR="008D15E4" w:rsidRPr="0027258B" w:rsidRDefault="00F672C4" w:rsidP="00573F53">
      <w:pPr>
        <w:pStyle w:val="Betarp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258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1.6. A</w:t>
      </w:r>
      <w:r w:rsidR="00742C7B" w:rsidRPr="0027258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tlikti auditai ir (ar) patikrinimai</w:t>
      </w:r>
      <w:r w:rsidR="004566D5" w:rsidRPr="0027258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.</w:t>
      </w:r>
      <w:r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21 d. </w:t>
      </w:r>
      <w:r w:rsidR="0027258B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priešgaisrinė</w:t>
      </w:r>
      <w:r w:rsid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27258B" w:rsidRP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gelbėjimo valdyb</w:t>
      </w:r>
      <w:r w:rsid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specialistas tikrino Centro atitikimą priešgaisrinės </w:t>
      </w:r>
      <w:r w:rsidR="004F7D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saugos </w:t>
      </w:r>
      <w:r w:rsid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>taisyklėms</w:t>
      </w:r>
      <w:r w:rsidR="004F7D4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2725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3F53" w:rsidRP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18 d. </w:t>
      </w:r>
      <w:r w:rsid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r w:rsidR="00573F53" w:rsidRP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ūkio ministerijos </w:t>
      </w:r>
      <w:r w:rsid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="00573F53" w:rsidRP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>uvininkystės skyriaus specialistai tikrino projekto Nr.</w:t>
      </w:r>
      <w:r w:rsidR="00403FF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73F53" w:rsidRPr="00573F53">
        <w:rPr>
          <w:rFonts w:ascii="Times New Roman" w:eastAsia="Times New Roman" w:hAnsi="Times New Roman" w:cs="Times New Roman"/>
          <w:sz w:val="24"/>
          <w:szCs w:val="24"/>
          <w:lang w:eastAsia="lt-LT"/>
        </w:rPr>
        <w:t>63VS-PV-21-1-00875 įgyvendinimą projekto įgyvendinimo vietoje.</w:t>
      </w:r>
      <w:r w:rsidR="00025E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Pažeidimų nebuvo rasta.</w:t>
      </w:r>
    </w:p>
    <w:p w14:paraId="6C3F1C24" w14:textId="314AC83A" w:rsidR="00C503C3" w:rsidRPr="00790F7D" w:rsidRDefault="00C503C3" w:rsidP="009B16BF">
      <w:pPr>
        <w:tabs>
          <w:tab w:val="num" w:pos="3090"/>
        </w:tabs>
        <w:ind w:firstLine="567"/>
        <w:jc w:val="both"/>
        <w:rPr>
          <w:color w:val="FF0000"/>
        </w:rPr>
      </w:pPr>
    </w:p>
    <w:p w14:paraId="244DF0DE" w14:textId="77777777" w:rsidR="00525875" w:rsidRDefault="00742C7B" w:rsidP="009B16BF">
      <w:pPr>
        <w:pStyle w:val="Standard"/>
        <w:ind w:firstLine="1276"/>
        <w:jc w:val="both"/>
        <w:rPr>
          <w:rFonts w:eastAsia="Times New Roman" w:cs="Times New Roman"/>
          <w:u w:val="single"/>
          <w:lang w:val="lt-LT" w:eastAsia="lt-LT"/>
        </w:rPr>
      </w:pPr>
      <w:r w:rsidRPr="00783D38">
        <w:rPr>
          <w:rFonts w:eastAsia="Times New Roman" w:cs="Times New Roman"/>
          <w:u w:val="single"/>
          <w:lang w:val="lt-LT" w:eastAsia="lt-LT"/>
        </w:rPr>
        <w:t>1.7. N</w:t>
      </w:r>
      <w:r w:rsidR="00DE1D49" w:rsidRPr="00783D38">
        <w:rPr>
          <w:rFonts w:eastAsia="Times New Roman" w:cs="Times New Roman"/>
          <w:u w:val="single"/>
          <w:lang w:val="lt-LT" w:eastAsia="lt-LT"/>
        </w:rPr>
        <w:t>umatomi planai ir prognozės:</w:t>
      </w:r>
      <w:r w:rsidR="00DE6E52" w:rsidRPr="00783D38">
        <w:rPr>
          <w:rFonts w:eastAsia="Times New Roman" w:cs="Times New Roman"/>
          <w:u w:val="single"/>
          <w:lang w:val="lt-LT" w:eastAsia="lt-LT"/>
        </w:rPr>
        <w:t xml:space="preserve"> </w:t>
      </w:r>
    </w:p>
    <w:p w14:paraId="5E01D54D" w14:textId="2887BFA9" w:rsidR="008B0241" w:rsidRPr="0031368D" w:rsidRDefault="00FA3E0B" w:rsidP="008B0241">
      <w:pPr>
        <w:jc w:val="both"/>
      </w:pPr>
      <w:r>
        <w:tab/>
      </w:r>
      <w:r w:rsidR="00255F83" w:rsidRPr="0031368D">
        <w:t xml:space="preserve"> Koordinuoti Kultūros paso paslaugų įgyvendinimą, </w:t>
      </w:r>
      <w:r w:rsidR="0031368D" w:rsidRPr="0031368D">
        <w:t xml:space="preserve">tęsti edukacijų kūrimą ir įgyvendinimą; pabaigti istorinės ekspozicijos atnaujinimo darbus; </w:t>
      </w:r>
      <w:r w:rsidR="008B0241" w:rsidRPr="0031368D">
        <w:t xml:space="preserve">atnaujinti įstaigos interneto puslapį. Dalyvauti Neringos savivaldybės projektų „Bendradarbiavimas per sieną, išsaugant kultūros paveldą turizmui ir bendruomenei“ ir „Bendradarbiavimas per sieną nuo kranto iki kranto“ </w:t>
      </w:r>
      <w:r w:rsidR="008B0241" w:rsidRPr="0031368D">
        <w:lastRenderedPageBreak/>
        <w:t>veiklose, dalyvauti partnerių dirbtuvėse, organizuoti susitikimus su projektų partneriais</w:t>
      </w:r>
      <w:r w:rsidR="008B0241">
        <w:t>.</w:t>
      </w:r>
      <w:r w:rsidR="008B0241" w:rsidRPr="0031368D">
        <w:t xml:space="preserve"> </w:t>
      </w:r>
      <w:r w:rsidR="00436ABE" w:rsidRPr="0031368D">
        <w:t>D</w:t>
      </w:r>
      <w:r w:rsidR="008B0241">
        <w:t>.</w:t>
      </w:r>
      <w:r w:rsidR="00436ABE" w:rsidRPr="0031368D">
        <w:t xml:space="preserve"> Junevičiaus ir N</w:t>
      </w:r>
      <w:r w:rsidR="008B0241">
        <w:t>.</w:t>
      </w:r>
      <w:r w:rsidR="00436ABE" w:rsidRPr="0031368D">
        <w:t xml:space="preserve"> Strakauskaitės</w:t>
      </w:r>
      <w:r w:rsidR="002D14A3" w:rsidRPr="0031368D">
        <w:t xml:space="preserve"> </w:t>
      </w:r>
      <w:r w:rsidR="00E574D3" w:rsidRPr="0031368D">
        <w:t>knygą</w:t>
      </w:r>
      <w:r w:rsidR="002D14A3" w:rsidRPr="0031368D">
        <w:t xml:space="preserve"> </w:t>
      </w:r>
      <w:r w:rsidR="002D14A3" w:rsidRPr="0031368D">
        <w:rPr>
          <w:bCs/>
        </w:rPr>
        <w:t>„Kuršių nerija anno 1900: Tilžės fotografo Roberto Minzloffo (1855–1930) stereoskopinių fotografijų rinkinys „Die Kurische Nehrung“</w:t>
      </w:r>
      <w:r w:rsidR="008B0241">
        <w:rPr>
          <w:bCs/>
        </w:rPr>
        <w:t xml:space="preserve"> </w:t>
      </w:r>
      <w:r w:rsidR="00436ABE" w:rsidRPr="0031368D">
        <w:t>išle</w:t>
      </w:r>
      <w:r w:rsidR="00E574D3" w:rsidRPr="0031368D">
        <w:t>isti vokiečių ir anglų kalbomis</w:t>
      </w:r>
      <w:r w:rsidR="00436ABE" w:rsidRPr="0031368D">
        <w:t>.</w:t>
      </w:r>
      <w:r w:rsidR="00715120" w:rsidRPr="0031368D">
        <w:t xml:space="preserve"> </w:t>
      </w:r>
      <w:r w:rsidR="008B0241" w:rsidRPr="0031368D">
        <w:t xml:space="preserve">Numatoma toliau puoselėti Mažosios Lietuvos etninės kultūros tradicijas, stiprinti Liudviko Rėzos kultūros centro vaidmenį šioje srityje; kultūrinėje meninėje veikloje aktualizuoti Juodkrantės kurorto „aukso amžiaus“ pasiekimus; pritraukti papildomą finansavimą įstaigos veikloms vykdyti; pritraukti papildomas lėšas iš kultūrinę veiklą remiančių fondų, rinkti lėšas už teikiamas paslaugas; rengti projektus ir tęsti jų įgyvendinimą. </w:t>
      </w:r>
    </w:p>
    <w:p w14:paraId="6E29096B" w14:textId="2F6646E0" w:rsidR="00B637C9" w:rsidRPr="0031368D" w:rsidRDefault="008B0241" w:rsidP="00D556F8">
      <w:pPr>
        <w:jc w:val="both"/>
      </w:pPr>
      <w:r>
        <w:tab/>
      </w:r>
    </w:p>
    <w:p w14:paraId="375B3160" w14:textId="77777777" w:rsidR="00DE1D49" w:rsidRPr="0031368D" w:rsidRDefault="00FA3E0B" w:rsidP="00B637C9">
      <w:pPr>
        <w:tabs>
          <w:tab w:val="left" w:pos="993"/>
        </w:tabs>
        <w:jc w:val="both"/>
        <w:rPr>
          <w:u w:val="single"/>
        </w:rPr>
      </w:pPr>
      <w:r w:rsidRPr="0031368D">
        <w:t xml:space="preserve"> </w:t>
      </w:r>
      <w:r w:rsidR="00B637C9" w:rsidRPr="0031368D">
        <w:tab/>
      </w:r>
      <w:r w:rsidR="001857DA" w:rsidRPr="0031368D">
        <w:rPr>
          <w:b/>
        </w:rPr>
        <w:t>2.</w:t>
      </w:r>
      <w:r w:rsidR="00742C7B" w:rsidRPr="0031368D">
        <w:rPr>
          <w:b/>
        </w:rPr>
        <w:t xml:space="preserve"> Centro</w:t>
      </w:r>
      <w:r w:rsidR="001857DA" w:rsidRPr="0031368D">
        <w:rPr>
          <w:b/>
        </w:rPr>
        <w:t xml:space="preserve"> veiklos pristatymas ir rodikliai.</w:t>
      </w:r>
    </w:p>
    <w:p w14:paraId="4082121B" w14:textId="77777777" w:rsidR="001857DA" w:rsidRPr="0031368D" w:rsidRDefault="00D77681" w:rsidP="009B16BF">
      <w:pPr>
        <w:pStyle w:val="Betarp"/>
        <w:ind w:firstLine="127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2.1. T</w:t>
      </w:r>
      <w:r w:rsidR="001857DA"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rumpas Centro pristatymas: </w:t>
      </w:r>
    </w:p>
    <w:p w14:paraId="58FD74AB" w14:textId="3E90F624" w:rsidR="00F672C4" w:rsidRPr="0031368D" w:rsidRDefault="001857DA" w:rsidP="00BC777A">
      <w:pPr>
        <w:pStyle w:val="Pavadinimas"/>
        <w:ind w:firstLine="1296"/>
        <w:jc w:val="both"/>
        <w:rPr>
          <w:b w:val="0"/>
        </w:rPr>
      </w:pPr>
      <w:r w:rsidRPr="0031368D">
        <w:rPr>
          <w:b w:val="0"/>
        </w:rPr>
        <w:t>2.1.1.</w:t>
      </w:r>
      <w:r w:rsidR="009B16BF" w:rsidRPr="0031368D">
        <w:rPr>
          <w:b w:val="0"/>
        </w:rPr>
        <w:t xml:space="preserve"> </w:t>
      </w:r>
      <w:r w:rsidRPr="0031368D">
        <w:rPr>
          <w:b w:val="0"/>
        </w:rPr>
        <w:t>Darbuotojų skaičius – 14.</w:t>
      </w:r>
      <w:r w:rsidR="009B16BF" w:rsidRPr="0031368D">
        <w:rPr>
          <w:bCs w:val="0"/>
        </w:rPr>
        <w:t xml:space="preserve"> </w:t>
      </w:r>
      <w:r w:rsidR="009B16BF" w:rsidRPr="0031368D">
        <w:rPr>
          <w:b w:val="0"/>
        </w:rPr>
        <w:t>Liudviko Rėzos kultūros centre nustatytas 15</w:t>
      </w:r>
      <w:r w:rsidR="00677218" w:rsidRPr="0031368D">
        <w:rPr>
          <w:b w:val="0"/>
        </w:rPr>
        <w:t> </w:t>
      </w:r>
      <w:r w:rsidR="009B16BF" w:rsidRPr="0031368D">
        <w:rPr>
          <w:b w:val="0"/>
        </w:rPr>
        <w:t xml:space="preserve">didžiausias leistinas pareigybių skaičius, dirbančių pagal darbo sutartis ir gaunančių darbo užmokestį iš Neringos savivaldybės biudžeto (patvirtinta Neringos savivaldybės tarybos </w:t>
      </w:r>
      <w:r w:rsidR="00677218" w:rsidRPr="0031368D">
        <w:rPr>
          <w:b w:val="0"/>
        </w:rPr>
        <w:br/>
      </w:r>
      <w:r w:rsidR="009B16BF" w:rsidRPr="0031368D">
        <w:rPr>
          <w:b w:val="0"/>
        </w:rPr>
        <w:t>2011-12-15 sprendimu Nr.</w:t>
      </w:r>
      <w:r w:rsidR="00677218" w:rsidRPr="0031368D">
        <w:rPr>
          <w:b w:val="0"/>
        </w:rPr>
        <w:t xml:space="preserve"> </w:t>
      </w:r>
      <w:r w:rsidR="009B16BF" w:rsidRPr="0031368D">
        <w:rPr>
          <w:b w:val="0"/>
        </w:rPr>
        <w:t xml:space="preserve">T1-187 „Dėl didžiausio leistino pareigybių skaičiaus Neringos savivaldybės kultūros įstaigose nustatymo“).  </w:t>
      </w:r>
    </w:p>
    <w:p w14:paraId="0E719C51" w14:textId="77777777" w:rsidR="00E04278" w:rsidRPr="0031368D" w:rsidRDefault="00E04278" w:rsidP="00E04278">
      <w:pPr>
        <w:pStyle w:val="Paantrat"/>
        <w:rPr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2661"/>
        <w:gridCol w:w="2054"/>
        <w:gridCol w:w="1985"/>
        <w:gridCol w:w="1417"/>
      </w:tblGrid>
      <w:tr w:rsidR="009B16BF" w:rsidRPr="00255A67" w14:paraId="06A83048" w14:textId="77777777" w:rsidTr="00463EA1">
        <w:tc>
          <w:tcPr>
            <w:tcW w:w="1097" w:type="dxa"/>
          </w:tcPr>
          <w:p w14:paraId="37867AE3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14:paraId="3D25176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Dirbantys pilną darbo laiko normą</w:t>
            </w:r>
          </w:p>
        </w:tc>
        <w:tc>
          <w:tcPr>
            <w:tcW w:w="2054" w:type="dxa"/>
            <w:vAlign w:val="center"/>
          </w:tcPr>
          <w:p w14:paraId="53009CF1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Darbuotojai</w:t>
            </w:r>
          </w:p>
          <w:p w14:paraId="5991BC6A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(iš viso)</w:t>
            </w:r>
          </w:p>
        </w:tc>
        <w:tc>
          <w:tcPr>
            <w:tcW w:w="1985" w:type="dxa"/>
            <w:vAlign w:val="center"/>
          </w:tcPr>
          <w:p w14:paraId="46F619C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Kultūros ir meno darbuotojai</w:t>
            </w:r>
          </w:p>
        </w:tc>
        <w:tc>
          <w:tcPr>
            <w:tcW w:w="1417" w:type="dxa"/>
            <w:vAlign w:val="center"/>
          </w:tcPr>
          <w:p w14:paraId="6A48D1D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Kiti</w:t>
            </w:r>
          </w:p>
        </w:tc>
      </w:tr>
      <w:tr w:rsidR="00790F7D" w:rsidRPr="00255A67" w14:paraId="004F434C" w14:textId="77777777" w:rsidTr="00463EA1">
        <w:tc>
          <w:tcPr>
            <w:tcW w:w="1097" w:type="dxa"/>
          </w:tcPr>
          <w:p w14:paraId="7D50EC94" w14:textId="3F2231AE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2490F356" w14:textId="1DD8C751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9,25 (vasaros metu 9,75)</w:t>
            </w:r>
          </w:p>
        </w:tc>
        <w:tc>
          <w:tcPr>
            <w:tcW w:w="2054" w:type="dxa"/>
          </w:tcPr>
          <w:p w14:paraId="67D3F099" w14:textId="20631F82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48C20CED" w14:textId="15BC70BB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776B6CA" w14:textId="793D79BE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F7D" w:rsidRPr="00255A67" w14:paraId="3AB84654" w14:textId="77777777" w:rsidTr="00463EA1">
        <w:tc>
          <w:tcPr>
            <w:tcW w:w="1097" w:type="dxa"/>
          </w:tcPr>
          <w:p w14:paraId="7BD55AE6" w14:textId="467456A0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430D34C6" w14:textId="782C017A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9,25 (vasaros metu 9,75)</w:t>
            </w:r>
          </w:p>
        </w:tc>
        <w:tc>
          <w:tcPr>
            <w:tcW w:w="2054" w:type="dxa"/>
          </w:tcPr>
          <w:p w14:paraId="6CAE6485" w14:textId="4B419EDB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7953454A" w14:textId="2F780303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A961535" w14:textId="2A18608F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F7D" w:rsidRPr="00255A67" w14:paraId="3746C8BE" w14:textId="77777777" w:rsidTr="00463EA1">
        <w:tc>
          <w:tcPr>
            <w:tcW w:w="1097" w:type="dxa"/>
          </w:tcPr>
          <w:p w14:paraId="4A6EE792" w14:textId="043D18F5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1BB6AAD3" w14:textId="36F31BA9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49C431E0" w14:textId="27790620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6BA3452" w14:textId="68ECCA65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075EE61" w14:textId="5F1D7D8D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F7D" w:rsidRPr="00255A67" w14:paraId="6663AD4E" w14:textId="77777777" w:rsidTr="00463EA1">
        <w:tc>
          <w:tcPr>
            <w:tcW w:w="1097" w:type="dxa"/>
          </w:tcPr>
          <w:p w14:paraId="31900222" w14:textId="57CAC67E" w:rsidR="00790F7D" w:rsidRPr="00255A67" w:rsidRDefault="00790F7D" w:rsidP="00790F7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7CAE9569" w14:textId="0B90D284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</w:tcPr>
          <w:p w14:paraId="50A6CCC9" w14:textId="447C05A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A0B2DBD" w14:textId="64F1D63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9E662A9" w14:textId="2CB41A88" w:rsidR="00790F7D" w:rsidRPr="00255A67" w:rsidRDefault="00790F7D" w:rsidP="00790F7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FC8738" w14:textId="77777777" w:rsidR="00B33837" w:rsidRDefault="00B33837" w:rsidP="00DE6E52">
      <w:pPr>
        <w:ind w:firstLine="1080"/>
        <w:jc w:val="both"/>
      </w:pPr>
    </w:p>
    <w:p w14:paraId="2ADC28D1" w14:textId="77777777" w:rsidR="00F93ED4" w:rsidRDefault="00F93ED4" w:rsidP="00DE6E52">
      <w:pPr>
        <w:ind w:firstLine="1080"/>
        <w:jc w:val="both"/>
      </w:pPr>
      <w:r w:rsidRPr="002A496F">
        <w:t xml:space="preserve">Liudviko Rėzos kultūros centre </w:t>
      </w:r>
      <w:r>
        <w:t>yra</w:t>
      </w:r>
      <w:r w:rsidRPr="002A496F">
        <w:t xml:space="preserve"> </w:t>
      </w:r>
      <w:r>
        <w:t>3</w:t>
      </w:r>
      <w:r w:rsidRPr="002A496F">
        <w:t xml:space="preserve"> </w:t>
      </w:r>
      <w:r>
        <w:t xml:space="preserve">mėgėjų meno </w:t>
      </w:r>
      <w:r w:rsidRPr="002A496F">
        <w:t>kolektyvai:</w:t>
      </w:r>
      <w:r w:rsidR="00DE6E52">
        <w:t xml:space="preserve"> </w:t>
      </w:r>
      <w:r w:rsidRPr="00B054AE">
        <w:t xml:space="preserve">vokalinis moterų ansamblis </w:t>
      </w:r>
      <w:r w:rsidRPr="00B33837">
        <w:t>,,Neringa“ (vadovė Rita Rušinskienė)</w:t>
      </w:r>
      <w:r w:rsidR="00DE6E52" w:rsidRPr="00B33837">
        <w:t xml:space="preserve">; </w:t>
      </w:r>
      <w:r w:rsidRPr="00B33837">
        <w:t>liaudiškos muzikos kapela „Kuršininkai“ (vadovė Dana Tregub)</w:t>
      </w:r>
      <w:r w:rsidR="00DE6E52" w:rsidRPr="00B33837">
        <w:t xml:space="preserve">; </w:t>
      </w:r>
      <w:r w:rsidRPr="00B33837">
        <w:t>folkloro ansamblis „Aušrinė“ (vadovė Ramunė Pečiukonytė)</w:t>
      </w:r>
      <w:r w:rsidR="00DE6E52" w:rsidRPr="00B33837">
        <w:t xml:space="preserve">. </w:t>
      </w:r>
      <w:r w:rsidRPr="00B33837">
        <w:t>Kolektyvus</w:t>
      </w:r>
      <w:r w:rsidRPr="00B054AE">
        <w:t xml:space="preserve"> lanko </w:t>
      </w:r>
      <w:r w:rsidR="0008040E">
        <w:t>42</w:t>
      </w:r>
      <w:r w:rsidR="00D77681">
        <w:t xml:space="preserve"> asmenys</w:t>
      </w:r>
      <w:r w:rsidRPr="00B054AE">
        <w:t>.</w:t>
      </w:r>
    </w:p>
    <w:p w14:paraId="0D100503" w14:textId="77777777" w:rsidR="003A0453" w:rsidRPr="00015899" w:rsidRDefault="003A0453" w:rsidP="00BD1407">
      <w:pPr>
        <w:spacing w:before="120"/>
        <w:ind w:firstLine="1134"/>
        <w:jc w:val="both"/>
      </w:pPr>
      <w:r w:rsidRPr="00015899">
        <w:t xml:space="preserve">2.1.3. </w:t>
      </w:r>
      <w:r w:rsidR="003C3F1A" w:rsidRPr="00015899">
        <w:t>Vidutinis darbo užmokestis:</w:t>
      </w:r>
    </w:p>
    <w:tbl>
      <w:tblPr>
        <w:tblStyle w:val="Lentelstinklelis"/>
        <w:tblW w:w="9602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5"/>
        <w:gridCol w:w="1428"/>
        <w:gridCol w:w="1642"/>
        <w:gridCol w:w="1433"/>
      </w:tblGrid>
      <w:tr w:rsidR="00C503C3" w:rsidRPr="008401EE" w14:paraId="637DEB3F" w14:textId="77777777" w:rsidTr="001B6A5C">
        <w:tc>
          <w:tcPr>
            <w:tcW w:w="2689" w:type="dxa"/>
            <w:vAlign w:val="center"/>
          </w:tcPr>
          <w:p w14:paraId="3A9D09EC" w14:textId="77777777" w:rsidR="00C503C3" w:rsidRPr="003C3F1A" w:rsidRDefault="00C503C3" w:rsidP="003C3F1A">
            <w:pPr>
              <w:jc w:val="center"/>
              <w:rPr>
                <w:b/>
              </w:rPr>
            </w:pPr>
            <w:bookmarkStart w:id="1" w:name="_Hlk508195673"/>
            <w:r w:rsidRPr="003C3F1A">
              <w:rPr>
                <w:b/>
              </w:rPr>
              <w:t>Pareigybės pavadinimas</w:t>
            </w:r>
          </w:p>
        </w:tc>
        <w:tc>
          <w:tcPr>
            <w:tcW w:w="1275" w:type="dxa"/>
            <w:vAlign w:val="center"/>
          </w:tcPr>
          <w:p w14:paraId="359287AA" w14:textId="77777777" w:rsidR="00C503C3" w:rsidRPr="003C3F1A" w:rsidRDefault="00C503C3" w:rsidP="003C3F1A">
            <w:pPr>
              <w:jc w:val="center"/>
              <w:rPr>
                <w:b/>
              </w:rPr>
            </w:pPr>
            <w:r w:rsidRPr="00735A9F">
              <w:rPr>
                <w:b/>
              </w:rPr>
              <w:t>Dirbantys pilną darbo laiko normą</w:t>
            </w:r>
          </w:p>
        </w:tc>
        <w:tc>
          <w:tcPr>
            <w:tcW w:w="1135" w:type="dxa"/>
            <w:vAlign w:val="center"/>
          </w:tcPr>
          <w:p w14:paraId="516B51EF" w14:textId="77777777" w:rsidR="00C503C3" w:rsidRPr="003C3F1A" w:rsidRDefault="00C503C3" w:rsidP="003C3F1A">
            <w:pPr>
              <w:jc w:val="center"/>
              <w:rPr>
                <w:b/>
              </w:rPr>
            </w:pPr>
            <w:r w:rsidRPr="003C3F1A">
              <w:rPr>
                <w:b/>
              </w:rPr>
              <w:t>Dar</w:t>
            </w:r>
            <w:r w:rsidR="00441674">
              <w:rPr>
                <w:b/>
              </w:rPr>
              <w:t>buo-</w:t>
            </w:r>
            <w:r w:rsidRPr="003C3F1A">
              <w:rPr>
                <w:b/>
              </w:rPr>
              <w:t>tojų skaičius</w:t>
            </w:r>
          </w:p>
        </w:tc>
        <w:tc>
          <w:tcPr>
            <w:tcW w:w="1428" w:type="dxa"/>
            <w:vAlign w:val="center"/>
          </w:tcPr>
          <w:p w14:paraId="1D331B1D" w14:textId="4DA8A84E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201</w:t>
            </w:r>
            <w:r w:rsidR="00640779">
              <w:rPr>
                <w:b/>
                <w:sz w:val="20"/>
                <w:szCs w:val="20"/>
              </w:rPr>
              <w:t>9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642" w:type="dxa"/>
          </w:tcPr>
          <w:p w14:paraId="4CA3E07B" w14:textId="753B1947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 w:rsidR="00640779">
              <w:rPr>
                <w:b/>
                <w:sz w:val="20"/>
                <w:szCs w:val="20"/>
              </w:rPr>
              <w:t>20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433" w:type="dxa"/>
          </w:tcPr>
          <w:p w14:paraId="45E7AA52" w14:textId="49FEF323" w:rsidR="00C503C3" w:rsidRPr="005F0D90" w:rsidRDefault="00C503C3" w:rsidP="003C3F1A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 w:rsidR="00EC42A8">
              <w:rPr>
                <w:b/>
                <w:sz w:val="20"/>
                <w:szCs w:val="20"/>
              </w:rPr>
              <w:t>2</w:t>
            </w:r>
            <w:r w:rsidR="00640779">
              <w:rPr>
                <w:b/>
                <w:sz w:val="20"/>
                <w:szCs w:val="20"/>
              </w:rPr>
              <w:t>1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</w:tr>
      <w:tr w:rsidR="00640779" w:rsidRPr="008401EE" w14:paraId="74385BD8" w14:textId="77777777" w:rsidTr="001B6A5C">
        <w:tc>
          <w:tcPr>
            <w:tcW w:w="2689" w:type="dxa"/>
          </w:tcPr>
          <w:p w14:paraId="70B6B975" w14:textId="77777777" w:rsidR="00640779" w:rsidRPr="00E15C99" w:rsidRDefault="00640779" w:rsidP="00640779">
            <w:r w:rsidRPr="003C3F1A">
              <w:rPr>
                <w:bCs/>
                <w:i/>
              </w:rPr>
              <w:t>Administracija:</w:t>
            </w:r>
            <w:r>
              <w:rPr>
                <w:bCs/>
              </w:rPr>
              <w:t xml:space="preserve"> d</w:t>
            </w:r>
            <w:r w:rsidRPr="008401EE">
              <w:t xml:space="preserve">irektorius, direktoriaus pavaduotojas, </w:t>
            </w:r>
            <w:r>
              <w:t xml:space="preserve">vyr. buhalteris </w:t>
            </w:r>
          </w:p>
        </w:tc>
        <w:tc>
          <w:tcPr>
            <w:tcW w:w="1275" w:type="dxa"/>
            <w:vAlign w:val="center"/>
          </w:tcPr>
          <w:p w14:paraId="2CF5BB16" w14:textId="77777777" w:rsidR="00640779" w:rsidRPr="008401EE" w:rsidRDefault="00640779" w:rsidP="00640779">
            <w:pPr>
              <w:jc w:val="center"/>
            </w:pPr>
            <w:r>
              <w:t>2,75</w:t>
            </w:r>
          </w:p>
        </w:tc>
        <w:tc>
          <w:tcPr>
            <w:tcW w:w="1135" w:type="dxa"/>
            <w:vAlign w:val="center"/>
          </w:tcPr>
          <w:p w14:paraId="6A16FEF3" w14:textId="77777777" w:rsidR="00640779" w:rsidRDefault="00640779" w:rsidP="00640779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0F3FA6D1" w14:textId="265B966E" w:rsidR="00640779" w:rsidRPr="008401EE" w:rsidRDefault="00640779" w:rsidP="00640779">
            <w:pPr>
              <w:jc w:val="center"/>
            </w:pPr>
            <w:r>
              <w:t>1669</w:t>
            </w:r>
          </w:p>
        </w:tc>
        <w:tc>
          <w:tcPr>
            <w:tcW w:w="1642" w:type="dxa"/>
            <w:vAlign w:val="center"/>
          </w:tcPr>
          <w:p w14:paraId="17EF610B" w14:textId="72BF6C2C" w:rsidR="00640779" w:rsidRDefault="00640779" w:rsidP="00640779">
            <w:pPr>
              <w:jc w:val="center"/>
            </w:pPr>
            <w:r>
              <w:t>1929</w:t>
            </w:r>
          </w:p>
        </w:tc>
        <w:tc>
          <w:tcPr>
            <w:tcW w:w="1433" w:type="dxa"/>
            <w:vAlign w:val="center"/>
          </w:tcPr>
          <w:p w14:paraId="556A908D" w14:textId="7C0EC0D0" w:rsidR="00640779" w:rsidRDefault="00286842" w:rsidP="00640779">
            <w:pPr>
              <w:jc w:val="center"/>
            </w:pPr>
            <w:r>
              <w:t>1966</w:t>
            </w:r>
          </w:p>
        </w:tc>
      </w:tr>
      <w:tr w:rsidR="00640779" w:rsidRPr="008401EE" w14:paraId="1ED4BAB7" w14:textId="77777777" w:rsidTr="001B6A5C">
        <w:tc>
          <w:tcPr>
            <w:tcW w:w="2689" w:type="dxa"/>
          </w:tcPr>
          <w:p w14:paraId="31285984" w14:textId="77777777" w:rsidR="00640779" w:rsidRPr="00E15C99" w:rsidRDefault="00640779" w:rsidP="00640779">
            <w:r w:rsidRPr="003C3F1A">
              <w:rPr>
                <w:bCs/>
                <w:i/>
              </w:rPr>
              <w:t>Kultūros ir meno darbuotojai:</w:t>
            </w:r>
            <w:r>
              <w:rPr>
                <w:bCs/>
              </w:rPr>
              <w:t xml:space="preserve"> k</w:t>
            </w:r>
            <w:r>
              <w:t>ultūrinės veiklos</w:t>
            </w:r>
            <w:r w:rsidRPr="008401EE">
              <w:t xml:space="preserve"> vadybinink</w:t>
            </w:r>
            <w:r>
              <w:t>as</w:t>
            </w:r>
            <w:r w:rsidRPr="008401EE">
              <w:t>,</w:t>
            </w:r>
            <w:r>
              <w:t xml:space="preserve"> renginių organizatorius, garso, šviesos, scenos specialistas, meno vadovas </w:t>
            </w:r>
          </w:p>
        </w:tc>
        <w:tc>
          <w:tcPr>
            <w:tcW w:w="1275" w:type="dxa"/>
            <w:vAlign w:val="center"/>
          </w:tcPr>
          <w:p w14:paraId="73FEF418" w14:textId="77777777" w:rsidR="00640779" w:rsidRPr="008401EE" w:rsidRDefault="00640779" w:rsidP="00640779">
            <w:pPr>
              <w:jc w:val="center"/>
            </w:pPr>
            <w:r>
              <w:t>3,5</w:t>
            </w:r>
          </w:p>
        </w:tc>
        <w:tc>
          <w:tcPr>
            <w:tcW w:w="1135" w:type="dxa"/>
            <w:vAlign w:val="center"/>
          </w:tcPr>
          <w:p w14:paraId="16E72014" w14:textId="77777777" w:rsidR="00640779" w:rsidRPr="008401EE" w:rsidRDefault="00640779" w:rsidP="00640779">
            <w:pPr>
              <w:jc w:val="center"/>
            </w:pPr>
            <w:r>
              <w:t>6</w:t>
            </w:r>
          </w:p>
        </w:tc>
        <w:tc>
          <w:tcPr>
            <w:tcW w:w="1428" w:type="dxa"/>
            <w:vAlign w:val="center"/>
          </w:tcPr>
          <w:p w14:paraId="3BC64D59" w14:textId="388EDFF1" w:rsidR="00640779" w:rsidRPr="008401EE" w:rsidRDefault="00640779" w:rsidP="00640779">
            <w:pPr>
              <w:jc w:val="center"/>
            </w:pPr>
            <w:r>
              <w:t>714</w:t>
            </w:r>
          </w:p>
        </w:tc>
        <w:tc>
          <w:tcPr>
            <w:tcW w:w="1642" w:type="dxa"/>
            <w:vAlign w:val="center"/>
          </w:tcPr>
          <w:p w14:paraId="41921E02" w14:textId="03C466FD" w:rsidR="00640779" w:rsidRDefault="00640779" w:rsidP="00640779">
            <w:pPr>
              <w:jc w:val="center"/>
            </w:pPr>
            <w:r>
              <w:t>767</w:t>
            </w:r>
          </w:p>
        </w:tc>
        <w:tc>
          <w:tcPr>
            <w:tcW w:w="1433" w:type="dxa"/>
            <w:vAlign w:val="center"/>
          </w:tcPr>
          <w:p w14:paraId="1D9601EE" w14:textId="35D359A4" w:rsidR="00640779" w:rsidRDefault="00286842" w:rsidP="00640779">
            <w:pPr>
              <w:jc w:val="center"/>
            </w:pPr>
            <w:r>
              <w:t>82</w:t>
            </w:r>
            <w:r w:rsidR="00640779">
              <w:t>1</w:t>
            </w:r>
          </w:p>
        </w:tc>
      </w:tr>
      <w:tr w:rsidR="00640779" w:rsidRPr="008401EE" w14:paraId="7F77466A" w14:textId="77777777" w:rsidTr="001B6A5C">
        <w:tc>
          <w:tcPr>
            <w:tcW w:w="2689" w:type="dxa"/>
          </w:tcPr>
          <w:p w14:paraId="620BBB3F" w14:textId="77777777" w:rsidR="00640779" w:rsidRPr="00E15C99" w:rsidRDefault="00640779" w:rsidP="00640779">
            <w:r w:rsidRPr="003C3F1A">
              <w:rPr>
                <w:bCs/>
                <w:i/>
              </w:rPr>
              <w:t>Kiti darbuotojai:</w:t>
            </w:r>
            <w:r>
              <w:rPr>
                <w:bCs/>
              </w:rPr>
              <w:t xml:space="preserve"> </w:t>
            </w:r>
            <w:r>
              <w:t>kompiuterių priežiūros specialistas, kasininkas-prižiūrėtojas</w:t>
            </w:r>
          </w:p>
        </w:tc>
        <w:tc>
          <w:tcPr>
            <w:tcW w:w="1275" w:type="dxa"/>
            <w:vAlign w:val="center"/>
          </w:tcPr>
          <w:p w14:paraId="771B45A3" w14:textId="77777777" w:rsidR="00640779" w:rsidRDefault="00640779" w:rsidP="00640779">
            <w:pPr>
              <w:jc w:val="center"/>
            </w:pPr>
            <w:r>
              <w:t>1,25</w:t>
            </w:r>
          </w:p>
        </w:tc>
        <w:tc>
          <w:tcPr>
            <w:tcW w:w="1135" w:type="dxa"/>
            <w:vAlign w:val="center"/>
          </w:tcPr>
          <w:p w14:paraId="6C4B71AD" w14:textId="77777777" w:rsidR="00640779" w:rsidRDefault="00640779" w:rsidP="00640779">
            <w:pPr>
              <w:jc w:val="center"/>
            </w:pPr>
            <w:r>
              <w:t>3</w:t>
            </w:r>
          </w:p>
        </w:tc>
        <w:tc>
          <w:tcPr>
            <w:tcW w:w="1428" w:type="dxa"/>
            <w:vAlign w:val="center"/>
          </w:tcPr>
          <w:p w14:paraId="2554F69B" w14:textId="79728869" w:rsidR="00640779" w:rsidRPr="008401EE" w:rsidRDefault="00640779" w:rsidP="00640779">
            <w:pPr>
              <w:jc w:val="center"/>
            </w:pPr>
            <w:r>
              <w:t>285</w:t>
            </w:r>
          </w:p>
        </w:tc>
        <w:tc>
          <w:tcPr>
            <w:tcW w:w="1642" w:type="dxa"/>
            <w:vAlign w:val="center"/>
          </w:tcPr>
          <w:p w14:paraId="47855C6B" w14:textId="17B933AC" w:rsidR="00640779" w:rsidRDefault="00640779" w:rsidP="00640779">
            <w:pPr>
              <w:jc w:val="center"/>
            </w:pPr>
            <w:r>
              <w:t>327</w:t>
            </w:r>
          </w:p>
        </w:tc>
        <w:tc>
          <w:tcPr>
            <w:tcW w:w="1433" w:type="dxa"/>
            <w:vAlign w:val="center"/>
          </w:tcPr>
          <w:p w14:paraId="623752FB" w14:textId="370019C3" w:rsidR="00640779" w:rsidRDefault="00640779" w:rsidP="00640779">
            <w:pPr>
              <w:jc w:val="center"/>
            </w:pPr>
            <w:r>
              <w:t>337</w:t>
            </w:r>
          </w:p>
        </w:tc>
      </w:tr>
      <w:tr w:rsidR="00640779" w:rsidRPr="008401EE" w14:paraId="41FE852D" w14:textId="77777777" w:rsidTr="001B6A5C">
        <w:tc>
          <w:tcPr>
            <w:tcW w:w="2689" w:type="dxa"/>
          </w:tcPr>
          <w:p w14:paraId="1DD54B8B" w14:textId="1B3CF14B" w:rsidR="00640779" w:rsidRPr="00E15C99" w:rsidRDefault="00640779" w:rsidP="00640779">
            <w:r>
              <w:rPr>
                <w:bCs/>
                <w:i/>
              </w:rPr>
              <w:lastRenderedPageBreak/>
              <w:t>A</w:t>
            </w:r>
            <w:r w:rsidRPr="0098097B">
              <w:rPr>
                <w:bCs/>
                <w:i/>
              </w:rPr>
              <w:t>ptarnaujantis personalas</w:t>
            </w:r>
            <w:r>
              <w:rPr>
                <w:bCs/>
                <w:i/>
              </w:rPr>
              <w:t xml:space="preserve"> –</w:t>
            </w:r>
            <w:r w:rsidR="00FF20CB">
              <w:rPr>
                <w:bCs/>
                <w:i/>
              </w:rPr>
              <w:t xml:space="preserve"> </w:t>
            </w:r>
            <w:r>
              <w:t>v</w:t>
            </w:r>
            <w:r w:rsidRPr="008401EE">
              <w:t>alytoj</w:t>
            </w:r>
            <w:r>
              <w:t>as</w:t>
            </w:r>
          </w:p>
        </w:tc>
        <w:tc>
          <w:tcPr>
            <w:tcW w:w="1275" w:type="dxa"/>
            <w:vAlign w:val="center"/>
          </w:tcPr>
          <w:p w14:paraId="1ABFD0DD" w14:textId="77777777" w:rsidR="00640779" w:rsidRPr="008401EE" w:rsidRDefault="00640779" w:rsidP="00640779">
            <w:pPr>
              <w:jc w:val="center"/>
            </w:pPr>
            <w:r>
              <w:t>1,75</w:t>
            </w:r>
          </w:p>
        </w:tc>
        <w:tc>
          <w:tcPr>
            <w:tcW w:w="1135" w:type="dxa"/>
            <w:vAlign w:val="center"/>
          </w:tcPr>
          <w:p w14:paraId="4BBC7F0F" w14:textId="77777777" w:rsidR="00640779" w:rsidRPr="008401EE" w:rsidRDefault="00640779" w:rsidP="00640779">
            <w:pPr>
              <w:jc w:val="center"/>
            </w:pPr>
            <w:r>
              <w:t>2</w:t>
            </w:r>
          </w:p>
        </w:tc>
        <w:tc>
          <w:tcPr>
            <w:tcW w:w="1428" w:type="dxa"/>
            <w:vAlign w:val="center"/>
          </w:tcPr>
          <w:p w14:paraId="196334F3" w14:textId="201FD5D6" w:rsidR="00640779" w:rsidRPr="008401EE" w:rsidRDefault="00640779" w:rsidP="00640779">
            <w:pPr>
              <w:jc w:val="center"/>
            </w:pPr>
            <w:r>
              <w:t>515</w:t>
            </w:r>
          </w:p>
        </w:tc>
        <w:tc>
          <w:tcPr>
            <w:tcW w:w="1642" w:type="dxa"/>
            <w:vAlign w:val="center"/>
          </w:tcPr>
          <w:p w14:paraId="0DF3013B" w14:textId="436E88AC" w:rsidR="00640779" w:rsidRDefault="00640779" w:rsidP="00640779">
            <w:pPr>
              <w:jc w:val="center"/>
            </w:pPr>
            <w:r>
              <w:t>520</w:t>
            </w:r>
          </w:p>
        </w:tc>
        <w:tc>
          <w:tcPr>
            <w:tcW w:w="1433" w:type="dxa"/>
            <w:vAlign w:val="center"/>
          </w:tcPr>
          <w:p w14:paraId="3E82FBB1" w14:textId="027E02C9" w:rsidR="00640779" w:rsidRDefault="00640779" w:rsidP="00640779">
            <w:pPr>
              <w:jc w:val="center"/>
            </w:pPr>
            <w:r>
              <w:t>587</w:t>
            </w:r>
          </w:p>
        </w:tc>
      </w:tr>
      <w:bookmarkEnd w:id="1"/>
    </w:tbl>
    <w:p w14:paraId="5C47DAF3" w14:textId="77777777" w:rsidR="00140C86" w:rsidRDefault="00140C86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A780AE" w14:textId="5AAA4BA8" w:rsidR="00F93ED4" w:rsidRPr="00995F2C" w:rsidRDefault="00015899" w:rsidP="00BD1407">
      <w:pPr>
        <w:spacing w:before="120"/>
        <w:ind w:firstLine="1134"/>
        <w:jc w:val="both"/>
      </w:pPr>
      <w:r>
        <w:t xml:space="preserve">2.1.4. </w:t>
      </w:r>
      <w:r w:rsidRPr="00995F2C">
        <w:t>Valdomas turtas (materialinė bazė ir jos būklė):</w:t>
      </w:r>
      <w:r w:rsidR="00DE6E52" w:rsidRPr="00995F2C">
        <w:t xml:space="preserve"> </w:t>
      </w:r>
      <w:r w:rsidR="004E4EEC" w:rsidRPr="00995F2C">
        <w:t>pastatas</w:t>
      </w:r>
      <w:r w:rsidR="00A56272" w:rsidRPr="00995F2C">
        <w:t xml:space="preserve"> L. Rėzos g. 8 B, Nering</w:t>
      </w:r>
      <w:r w:rsidR="00677218" w:rsidRPr="00995F2C">
        <w:t>oje</w:t>
      </w:r>
      <w:r w:rsidR="00A56272" w:rsidRPr="00995F2C">
        <w:t xml:space="preserve"> (284,04 kv. m)</w:t>
      </w:r>
      <w:r w:rsidRPr="00995F2C">
        <w:t>;</w:t>
      </w:r>
      <w:r w:rsidR="00DE6E52" w:rsidRPr="00995F2C">
        <w:t xml:space="preserve"> </w:t>
      </w:r>
      <w:r w:rsidRPr="00995F2C">
        <w:t xml:space="preserve">koncertų salė </w:t>
      </w:r>
      <w:r w:rsidR="00882D9B" w:rsidRPr="00995F2C">
        <w:t>L. Rėzos g. 54 C-9, Nering</w:t>
      </w:r>
      <w:r w:rsidR="00677218" w:rsidRPr="00995F2C">
        <w:t>oje</w:t>
      </w:r>
      <w:r w:rsidR="00882D9B" w:rsidRPr="00995F2C">
        <w:t xml:space="preserve"> </w:t>
      </w:r>
      <w:r w:rsidRPr="00995F2C">
        <w:t>(</w:t>
      </w:r>
      <w:r w:rsidR="00A56272" w:rsidRPr="00995F2C">
        <w:t>283,43 kv. m</w:t>
      </w:r>
      <w:r w:rsidRPr="00995F2C">
        <w:t xml:space="preserve">); lauko estrada </w:t>
      </w:r>
      <w:r w:rsidR="00882D9B" w:rsidRPr="00995F2C">
        <w:t>L. Rėzos g. 54 C-9, Nering</w:t>
      </w:r>
      <w:r w:rsidR="00677218" w:rsidRPr="00995F2C">
        <w:t>oje</w:t>
      </w:r>
      <w:r w:rsidR="00882D9B" w:rsidRPr="00995F2C">
        <w:t xml:space="preserve"> </w:t>
      </w:r>
      <w:r w:rsidRPr="00995F2C">
        <w:t>(</w:t>
      </w:r>
      <w:r w:rsidR="00A56272" w:rsidRPr="00995F2C">
        <w:t>692,00 kv. m</w:t>
      </w:r>
      <w:r w:rsidRPr="00995F2C">
        <w:t>)</w:t>
      </w:r>
      <w:r w:rsidR="00882D9B" w:rsidRPr="00995F2C">
        <w:t>.</w:t>
      </w:r>
    </w:p>
    <w:p w14:paraId="30CD51AF" w14:textId="77777777" w:rsidR="00995F2C" w:rsidRDefault="00995F2C" w:rsidP="00AB5B26">
      <w:pPr>
        <w:ind w:firstLine="1134"/>
        <w:jc w:val="both"/>
        <w:rPr>
          <w:sz w:val="22"/>
          <w:szCs w:val="22"/>
        </w:rPr>
      </w:pPr>
      <w:r>
        <w:t>Ilgalaikis turtas pagal grupes (likutine verte): programinės įrangos ir jos licencijų vertė laikotarpio pabaigoje 0 Eur, kitų infrastruktūros statinių (estrados denginys) vertė – 37 927 Eur, kitų mašinų ir įrengimų vertė – 511 Eur, kito ilgalaikio materialiojo turto – 4 710 Eur. 2021 m. gruodžio 31 d. visiškai nudėvėto, tačiau vis dar naudojamo Centro veikloje materialaus ilgalaikio turto įsigijimo savikaina sudaro 87 960 Eur, iš jų: kitas ilgalaikis nematerialusis turtas – 999 Eur; kitų mašinų ir įrenginių – 13 441 Eur; baldai – 15 129  Eur ir kitas ilgalaikis materialusis turtas –  58 391 Eur.</w:t>
      </w:r>
    </w:p>
    <w:p w14:paraId="0DEE2DF7" w14:textId="77777777" w:rsidR="00BD1407" w:rsidRDefault="00BD1407" w:rsidP="00BD1407">
      <w:pPr>
        <w:ind w:firstLine="1134"/>
        <w:jc w:val="both"/>
        <w:rPr>
          <w:u w:val="single"/>
        </w:rPr>
      </w:pPr>
    </w:p>
    <w:p w14:paraId="0566045F" w14:textId="77777777" w:rsidR="00573E10" w:rsidRDefault="00882D9B" w:rsidP="00BD1407">
      <w:pPr>
        <w:ind w:firstLine="1134"/>
        <w:jc w:val="both"/>
        <w:rPr>
          <w:u w:val="single"/>
        </w:rPr>
      </w:pPr>
      <w:r w:rsidRPr="00D0714E">
        <w:rPr>
          <w:u w:val="single"/>
        </w:rPr>
        <w:t>2.2. Pagrindiniai pasiekimai – uždavinių įgyvendinimas pagal nustatytus metinių uždavinių siektinus rodiklius:</w:t>
      </w:r>
    </w:p>
    <w:p w14:paraId="10DB70F1" w14:textId="77777777" w:rsidR="000E49C2" w:rsidRPr="003C66D7" w:rsidRDefault="002B2722" w:rsidP="000E49C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tab/>
      </w:r>
      <w:r w:rsidR="00817D98" w:rsidRPr="003C66D7">
        <w:rPr>
          <w:rFonts w:ascii="Times New Roman" w:hAnsi="Times New Roman" w:cs="Times New Roman"/>
          <w:sz w:val="24"/>
          <w:szCs w:val="24"/>
        </w:rPr>
        <w:t>2.</w:t>
      </w:r>
      <w:r w:rsidR="00AA6A33" w:rsidRPr="003C66D7">
        <w:rPr>
          <w:rFonts w:ascii="Times New Roman" w:hAnsi="Times New Roman" w:cs="Times New Roman"/>
          <w:sz w:val="24"/>
          <w:szCs w:val="24"/>
        </w:rPr>
        <w:t>2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AA6A33" w:rsidRPr="003C66D7">
        <w:rPr>
          <w:rFonts w:ascii="Times New Roman" w:hAnsi="Times New Roman" w:cs="Times New Roman"/>
          <w:sz w:val="24"/>
          <w:szCs w:val="24"/>
        </w:rPr>
        <w:t>1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D77681" w:rsidRPr="003C66D7">
        <w:rPr>
          <w:rFonts w:ascii="Times New Roman" w:hAnsi="Times New Roman" w:cs="Times New Roman"/>
          <w:sz w:val="24"/>
          <w:szCs w:val="24"/>
        </w:rPr>
        <w:t xml:space="preserve"> </w:t>
      </w:r>
      <w:r w:rsidR="005850CD" w:rsidRPr="003C66D7">
        <w:rPr>
          <w:rFonts w:ascii="Times New Roman" w:hAnsi="Times New Roman" w:cs="Times New Roman"/>
          <w:sz w:val="24"/>
          <w:szCs w:val="24"/>
        </w:rPr>
        <w:t>Centro svarbiausi renginiai 202</w:t>
      </w:r>
      <w:r w:rsidR="00255F83" w:rsidRPr="003C66D7">
        <w:rPr>
          <w:rFonts w:ascii="Times New Roman" w:hAnsi="Times New Roman" w:cs="Times New Roman"/>
          <w:sz w:val="24"/>
          <w:szCs w:val="24"/>
        </w:rPr>
        <w:t>1</w:t>
      </w:r>
      <w:r w:rsidR="005850CD" w:rsidRPr="003C66D7">
        <w:rPr>
          <w:rFonts w:ascii="Times New Roman" w:hAnsi="Times New Roman" w:cs="Times New Roman"/>
          <w:sz w:val="24"/>
          <w:szCs w:val="24"/>
        </w:rPr>
        <w:t xml:space="preserve"> metais. </w:t>
      </w:r>
    </w:p>
    <w:p w14:paraId="54ABED77" w14:textId="0F995472" w:rsidR="005133BA" w:rsidRPr="003C66D7" w:rsidRDefault="002B2722" w:rsidP="00E21E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3C66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093D7F" w:rsidRPr="003C66D7">
        <w:rPr>
          <w:rFonts w:ascii="Times New Roman" w:hAnsi="Times New Roman" w:cs="Times New Roman"/>
          <w:sz w:val="24"/>
          <w:szCs w:val="24"/>
        </w:rPr>
        <w:t>Organizuoti nuotoliniai renginiai „Facebook“ platformoje, „Youtube“ kanale, „Zoom“ programoje sulaukė daug peržiūrų ir susidomėjimo: Martyno Liudviko Rėzos vardo kultūros ir meno premijos įteikimas archeologei, habil. dr. Rimutei Rimantienei; Klaipėdos miesto savivaldybės Imanuelio Kanto viešosios bibliotekos metų knygos rinkimų konkurse „Klaipėdos knyga 2020“ buvo pristatyta Dainiaus Junevičiaus ir Nijolės Strakauskaitės knyga „Kuršių nerija anno 1900: Tilžės fotografo Roberto Minzloffo (1855–1930) stereoskopinių fotografijų rinkinys „Die Kurische Nehrung“; doc. dr. Silvos Pocytės nuotolinis knygos pristatymas-paskaita „Mažosios Lietuvos periodinė spauda 1811</w:t>
      </w:r>
      <w:r w:rsidR="00FF20CB">
        <w:rPr>
          <w:rFonts w:ascii="Times New Roman" w:hAnsi="Times New Roman" w:cs="Times New Roman"/>
          <w:sz w:val="24"/>
          <w:szCs w:val="24"/>
        </w:rPr>
        <w:t>–</w:t>
      </w:r>
      <w:r w:rsidR="00093D7F" w:rsidRPr="003C66D7">
        <w:rPr>
          <w:rFonts w:ascii="Times New Roman" w:hAnsi="Times New Roman" w:cs="Times New Roman"/>
          <w:sz w:val="24"/>
          <w:szCs w:val="24"/>
        </w:rPr>
        <w:t xml:space="preserve">1939 m.“; pasivaikščiojimas su istorike </w:t>
      </w:r>
      <w:r w:rsidR="00AB5B26">
        <w:rPr>
          <w:rFonts w:ascii="Times New Roman" w:hAnsi="Times New Roman" w:cs="Times New Roman"/>
          <w:sz w:val="24"/>
          <w:szCs w:val="24"/>
        </w:rPr>
        <w:t>prof.</w:t>
      </w:r>
      <w:r w:rsidR="00093D7F" w:rsidRPr="003C66D7">
        <w:rPr>
          <w:rFonts w:ascii="Times New Roman" w:hAnsi="Times New Roman" w:cs="Times New Roman"/>
          <w:sz w:val="24"/>
          <w:szCs w:val="24"/>
        </w:rPr>
        <w:t xml:space="preserve"> dr. Nijole Strakauskaite po senąjį Juodkrantės kurortą; </w:t>
      </w:r>
      <w:r w:rsidR="005133BA" w:rsidRPr="003C66D7">
        <w:rPr>
          <w:rFonts w:ascii="Times New Roman" w:hAnsi="Times New Roman" w:cs="Times New Roman"/>
          <w:sz w:val="24"/>
          <w:szCs w:val="24"/>
        </w:rPr>
        <w:t>Lietuvos Nacionalinės Martyno Mažvydo bibliotekos Kalbos klube pokalbis „Visa tiesa apie kuršininkų kalbą“, prof. Jolanta Elena Zabarskaitė kalbino Mažosios Lietuvos tyrėją prof. Dalią Kiseliūnaitę; diskusija apie Neringos ateitį „Kur dėsime kablelį: pokyčių kūrimas negalimas laukimas“ su prof. Jolanta Zabarskaite ir prof. Arūnu Augustinaičiu</w:t>
      </w:r>
      <w:r w:rsidR="000E49C2" w:rsidRPr="003C66D7">
        <w:rPr>
          <w:rFonts w:ascii="Times New Roman" w:hAnsi="Times New Roman" w:cs="Times New Roman"/>
          <w:sz w:val="24"/>
          <w:szCs w:val="24"/>
        </w:rPr>
        <w:t>.</w:t>
      </w:r>
    </w:p>
    <w:p w14:paraId="3EA34451" w14:textId="45D36ACC" w:rsidR="00082879" w:rsidRDefault="00B6472F" w:rsidP="00E21ED1">
      <w:pPr>
        <w:ind w:firstLine="1296"/>
        <w:jc w:val="both"/>
      </w:pPr>
      <w:r w:rsidRPr="003C66D7">
        <w:t>Juodkrantės bendruomenę įtraukiantys</w:t>
      </w:r>
      <w:r w:rsidR="00B365B0">
        <w:t xml:space="preserve"> </w:t>
      </w:r>
      <w:r w:rsidR="003C66D7" w:rsidRPr="003C66D7">
        <w:t>renginiai</w:t>
      </w:r>
      <w:r w:rsidRPr="003C66D7">
        <w:t xml:space="preserve">: </w:t>
      </w:r>
      <w:r w:rsidR="003C66D7" w:rsidRPr="003C66D7">
        <w:t xml:space="preserve">dailininkių, turinčių </w:t>
      </w:r>
      <w:r w:rsidR="00B365B0">
        <w:t>Juodkrantėje</w:t>
      </w:r>
      <w:r w:rsidR="003C66D7" w:rsidRPr="003C66D7">
        <w:t xml:space="preserve"> antruosius namus, paroda „Emalis ir tapyba“, paveikslų, kurie yra juodkrantiškių namuose su įamžintomis žvejybos akimirkomis ar Kuršių nerijos kraštovaizdžio motyvais, </w:t>
      </w:r>
      <w:r w:rsidR="00E21ED1">
        <w:t xml:space="preserve">paroda </w:t>
      </w:r>
      <w:r w:rsidR="003B154C" w:rsidRPr="003C66D7">
        <w:t>„Palikimas“ (Kuršių nerija sovietmečio Lietuvos dailininkų darbuose)</w:t>
      </w:r>
      <w:r w:rsidR="00E21ED1">
        <w:t xml:space="preserve">, </w:t>
      </w:r>
      <w:r w:rsidR="00B365B0">
        <w:rPr>
          <w:kern w:val="36"/>
        </w:rPr>
        <w:t>akcija „</w:t>
      </w:r>
      <w:r w:rsidR="00B365B0" w:rsidRPr="003C66D7">
        <w:t>Istorija įamžinta kadre</w:t>
      </w:r>
      <w:r w:rsidR="00B365B0">
        <w:t>“ ir kiti renginiai</w:t>
      </w:r>
      <w:r w:rsidR="00B365B0" w:rsidRPr="003C66D7">
        <w:t>,</w:t>
      </w:r>
      <w:r w:rsidR="00B365B0">
        <w:t xml:space="preserve"> skatinantys </w:t>
      </w:r>
      <w:r w:rsidR="00AB5B26">
        <w:t xml:space="preserve">Juodkrantės gyventojus </w:t>
      </w:r>
      <w:r w:rsidR="00B365B0" w:rsidRPr="003C66D7">
        <w:t xml:space="preserve">aktyviai </w:t>
      </w:r>
      <w:r w:rsidR="00B365B0">
        <w:t>dalyvauti</w:t>
      </w:r>
      <w:r w:rsidR="00AB5B26">
        <w:t xml:space="preserve"> Centro veikloje</w:t>
      </w:r>
      <w:r w:rsidR="00B365B0">
        <w:t xml:space="preserve">. </w:t>
      </w:r>
      <w:r w:rsidR="00B365B0" w:rsidRPr="003C66D7">
        <w:t xml:space="preserve"> </w:t>
      </w:r>
    </w:p>
    <w:p w14:paraId="058CD8A5" w14:textId="6DCFA0D3" w:rsidR="00F62B63" w:rsidRPr="00526CEE" w:rsidRDefault="00434346" w:rsidP="00EC154D">
      <w:pPr>
        <w:ind w:firstLine="1296"/>
        <w:jc w:val="both"/>
        <w:rPr>
          <w:b/>
          <w:bCs/>
          <w:i/>
          <w:iCs/>
          <w:color w:val="FF0000"/>
          <w:lang w:val="en-US"/>
        </w:rPr>
      </w:pPr>
      <w:r>
        <w:t xml:space="preserve">Buvo </w:t>
      </w:r>
      <w:r w:rsidR="00EC154D">
        <w:t xml:space="preserve">paminėtos Valstybinės, kalendorinės šventės, </w:t>
      </w:r>
      <w:r w:rsidR="00131779">
        <w:t xml:space="preserve">surengtos parodos, paskaitos, vykdomos edukacijos, vedamos ekskursijos, mokymai, </w:t>
      </w:r>
      <w:r>
        <w:t>surengt</w:t>
      </w:r>
      <w:r w:rsidR="00EC154D">
        <w:t>i festivaliai „Baltic voice“, „Juodkrantės kurorto dienos“, „Pūsk, vėjuži!“</w:t>
      </w:r>
      <w:r w:rsidR="00131779">
        <w:t>.</w:t>
      </w:r>
      <w:r w:rsidR="00C547BD">
        <w:t xml:space="preserve"> Didelio </w:t>
      </w:r>
      <w:r w:rsidR="00E427C1">
        <w:t xml:space="preserve">dėmesio </w:t>
      </w:r>
      <w:r w:rsidR="00C547BD">
        <w:t xml:space="preserve">sulaukė </w:t>
      </w:r>
      <w:r>
        <w:t xml:space="preserve"> </w:t>
      </w:r>
      <w:r w:rsidR="00E427C1" w:rsidRPr="00E427C1">
        <w:t>o</w:t>
      </w:r>
      <w:r w:rsidR="00E427C1" w:rsidRPr="00161B5B">
        <w:t>per</w:t>
      </w:r>
      <w:r w:rsidR="00E427C1">
        <w:t>os</w:t>
      </w:r>
      <w:r w:rsidR="00E427C1" w:rsidRPr="00161B5B">
        <w:t xml:space="preserve"> „Neringa“</w:t>
      </w:r>
      <w:r w:rsidR="00E427C1">
        <w:t xml:space="preserve"> premjera, </w:t>
      </w:r>
      <w:r w:rsidR="00C547BD" w:rsidRPr="00E427C1">
        <w:t xml:space="preserve"> Sauliaus Petreikio, ansamblio „Trimitas“ koncertai</w:t>
      </w:r>
      <w:r w:rsidR="00E427C1" w:rsidRPr="00E427C1">
        <w:t>, kurie vyko Centro lauko estradoje</w:t>
      </w:r>
      <w:r w:rsidR="00AB5B26">
        <w:t>, ne mažas</w:t>
      </w:r>
      <w:r w:rsidR="00C547BD" w:rsidRPr="00E427C1">
        <w:t xml:space="preserve"> </w:t>
      </w:r>
      <w:r w:rsidRPr="00AB5B26">
        <w:t>susidomėjim</w:t>
      </w:r>
      <w:r w:rsidR="00AB5B26">
        <w:t>as</w:t>
      </w:r>
      <w:r w:rsidRPr="00AB5B26">
        <w:t xml:space="preserve"> </w:t>
      </w:r>
      <w:r w:rsidR="000960D0">
        <w:t>buvo</w:t>
      </w:r>
      <w:r w:rsidR="000960D0" w:rsidRPr="00AB5B26">
        <w:t xml:space="preserve"> </w:t>
      </w:r>
      <w:r w:rsidRPr="00AB5B26">
        <w:t xml:space="preserve">fotografijų paroda </w:t>
      </w:r>
      <w:r>
        <w:t>„Semeniškių idilės“, skirta J. Mekui</w:t>
      </w:r>
      <w:r w:rsidR="00526CEE">
        <w:t xml:space="preserve">. </w:t>
      </w:r>
      <w:r w:rsidR="00EC154D">
        <w:t xml:space="preserve"> </w:t>
      </w:r>
      <w:r w:rsidR="007E4746" w:rsidRPr="00526CEE">
        <w:rPr>
          <w:color w:val="FF0000"/>
        </w:rPr>
        <w:tab/>
      </w:r>
    </w:p>
    <w:p w14:paraId="0AE008FE" w14:textId="0849470D" w:rsidR="00255F83" w:rsidRPr="00131779" w:rsidRDefault="00131779" w:rsidP="007E4746">
      <w:pPr>
        <w:pStyle w:val="Sraopastraipa"/>
        <w:tabs>
          <w:tab w:val="left" w:pos="34"/>
        </w:tabs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szCs w:val="24"/>
          <w:lang w:eastAsia="lt-LT"/>
        </w:rPr>
        <w:tab/>
      </w:r>
      <w:r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„Neringa </w:t>
      </w:r>
      <w:r w:rsidR="00FF20C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33BA"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sal</w:t>
      </w:r>
      <w:r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>a“</w:t>
      </w:r>
      <w:r w:rsidR="005133BA"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</w:t>
      </w:r>
      <w:r w:rsidR="00526CEE">
        <w:rPr>
          <w:rFonts w:ascii="Times New Roman" w:eastAsia="Times New Roman" w:hAnsi="Times New Roman" w:cs="Times New Roman"/>
          <w:sz w:val="24"/>
          <w:szCs w:val="24"/>
          <w:lang w:eastAsia="lt-LT"/>
        </w:rPr>
        <w:t>o metu</w:t>
      </w:r>
      <w:r w:rsidR="005133BA"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buvo surengtos </w:t>
      </w:r>
      <w:r w:rsidR="005133BA"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diskusijos, paskaitos </w:t>
      </w:r>
      <w:r w:rsidR="00255F83" w:rsidRPr="00131779">
        <w:rPr>
          <w:rFonts w:ascii="Times New Roman" w:eastAsia="Times New Roman" w:hAnsi="Times New Roman" w:cs="Times New Roman"/>
          <w:sz w:val="24"/>
          <w:szCs w:val="24"/>
          <w:lang w:eastAsia="lt-LT"/>
        </w:rPr>
        <w:t>„Kurorto aukso amžius“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75FE0A1" w14:textId="77777777" w:rsidR="00E713AD" w:rsidRDefault="00AE2B73" w:rsidP="008007E4">
      <w:pPr>
        <w:pStyle w:val="Style10"/>
        <w:widowControl/>
        <w:tabs>
          <w:tab w:val="left" w:pos="0"/>
        </w:tabs>
        <w:spacing w:line="240" w:lineRule="auto"/>
        <w:jc w:val="both"/>
        <w:rPr>
          <w:color w:val="FF0000"/>
        </w:rPr>
      </w:pPr>
      <w:r>
        <w:tab/>
      </w:r>
      <w:r w:rsidR="00AA6A33">
        <w:t>2.2.</w:t>
      </w:r>
      <w:r w:rsidR="00D0714E">
        <w:t>2</w:t>
      </w:r>
      <w:r w:rsidR="00AA6A33">
        <w:t xml:space="preserve">. </w:t>
      </w:r>
      <w:r w:rsidR="00AA6A33" w:rsidRPr="007E4746">
        <w:t xml:space="preserve">Mėgėjų meno kolektyvų svarbiausios išvykos ir pasiekimai: </w:t>
      </w:r>
    </w:p>
    <w:p w14:paraId="04392AD1" w14:textId="2DCDFC6B" w:rsidR="007D2781" w:rsidRPr="00137EA7" w:rsidRDefault="00553556" w:rsidP="00685541">
      <w:pPr>
        <w:ind w:firstLine="1296"/>
        <w:jc w:val="both"/>
        <w:rPr>
          <w:bCs/>
          <w:szCs w:val="20"/>
        </w:rPr>
      </w:pPr>
      <w:r w:rsidRPr="00137EA7">
        <w:rPr>
          <w:bCs/>
          <w:szCs w:val="20"/>
        </w:rPr>
        <w:t>Folkloro ansamblis „Aušrinė“</w:t>
      </w:r>
      <w:r w:rsidR="001B79CB" w:rsidRPr="00137EA7">
        <w:rPr>
          <w:bCs/>
          <w:szCs w:val="20"/>
        </w:rPr>
        <w:t xml:space="preserve"> vyk</w:t>
      </w:r>
      <w:r w:rsidR="00685541">
        <w:rPr>
          <w:bCs/>
          <w:szCs w:val="20"/>
        </w:rPr>
        <w:t>o</w:t>
      </w:r>
      <w:r w:rsidR="001B79CB" w:rsidRPr="00137EA7">
        <w:rPr>
          <w:bCs/>
          <w:szCs w:val="20"/>
        </w:rPr>
        <w:t xml:space="preserve"> į folkloro šventę</w:t>
      </w:r>
      <w:r w:rsidR="00685541">
        <w:rPr>
          <w:bCs/>
          <w:szCs w:val="20"/>
        </w:rPr>
        <w:t xml:space="preserve"> „</w:t>
      </w:r>
      <w:r w:rsidR="001B79CB" w:rsidRPr="00137EA7">
        <w:rPr>
          <w:bCs/>
          <w:szCs w:val="20"/>
        </w:rPr>
        <w:t>Vasara Jono Jablonskio tėviškėje</w:t>
      </w:r>
      <w:r w:rsidR="00685541">
        <w:rPr>
          <w:bCs/>
          <w:szCs w:val="20"/>
        </w:rPr>
        <w:t>“, dalyvavo</w:t>
      </w:r>
      <w:r w:rsidRPr="00137EA7">
        <w:rPr>
          <w:bCs/>
          <w:szCs w:val="20"/>
        </w:rPr>
        <w:t xml:space="preserve"> tarptautiniame folkloro festivalyje</w:t>
      </w:r>
      <w:r w:rsidR="008B22FA" w:rsidRPr="00137EA7">
        <w:rPr>
          <w:bCs/>
          <w:szCs w:val="20"/>
        </w:rPr>
        <w:t xml:space="preserve"> „</w:t>
      </w:r>
      <w:r w:rsidRPr="00137EA7">
        <w:rPr>
          <w:bCs/>
          <w:szCs w:val="20"/>
        </w:rPr>
        <w:t xml:space="preserve">Tek saulužė ant maračių“; </w:t>
      </w:r>
      <w:r w:rsidR="001B79CB" w:rsidRPr="00137EA7">
        <w:rPr>
          <w:bCs/>
          <w:szCs w:val="20"/>
        </w:rPr>
        <w:t xml:space="preserve">dalyvavo </w:t>
      </w:r>
      <w:r w:rsidR="00685541" w:rsidRPr="00137EA7">
        <w:rPr>
          <w:bCs/>
          <w:szCs w:val="20"/>
        </w:rPr>
        <w:t>šiaudinių skulptūrų plenere Vilkyčiuose, Saugų seniūnijoje</w:t>
      </w:r>
      <w:r w:rsidRPr="00137EA7">
        <w:rPr>
          <w:bCs/>
          <w:szCs w:val="20"/>
        </w:rPr>
        <w:t>; f</w:t>
      </w:r>
      <w:r w:rsidR="008B22FA" w:rsidRPr="00137EA7">
        <w:rPr>
          <w:bCs/>
          <w:szCs w:val="20"/>
        </w:rPr>
        <w:t>olkloro ansamblių šventė</w:t>
      </w:r>
      <w:r w:rsidRPr="00137EA7">
        <w:rPr>
          <w:bCs/>
          <w:szCs w:val="20"/>
        </w:rPr>
        <w:t>je</w:t>
      </w:r>
      <w:r w:rsidR="008B22FA" w:rsidRPr="00137EA7">
        <w:rPr>
          <w:bCs/>
          <w:szCs w:val="20"/>
        </w:rPr>
        <w:t xml:space="preserve"> „Žolinės Paberžėje“ Kėdainių r.</w:t>
      </w:r>
      <w:r w:rsidR="00685541">
        <w:rPr>
          <w:bCs/>
          <w:szCs w:val="20"/>
        </w:rPr>
        <w:t>;</w:t>
      </w:r>
      <w:r w:rsidRPr="00137EA7">
        <w:rPr>
          <w:bCs/>
          <w:szCs w:val="20"/>
        </w:rPr>
        <w:t xml:space="preserve"> </w:t>
      </w:r>
      <w:r w:rsidR="00137EA7" w:rsidRPr="00137EA7">
        <w:rPr>
          <w:bCs/>
          <w:szCs w:val="20"/>
        </w:rPr>
        <w:t>Mažosios Lietuvos etnodien</w:t>
      </w:r>
      <w:r w:rsidR="00685541">
        <w:rPr>
          <w:bCs/>
          <w:szCs w:val="20"/>
        </w:rPr>
        <w:t>ų</w:t>
      </w:r>
      <w:r w:rsidR="00137EA7" w:rsidRPr="00137EA7">
        <w:rPr>
          <w:bCs/>
          <w:szCs w:val="20"/>
        </w:rPr>
        <w:t xml:space="preserve"> </w:t>
      </w:r>
      <w:r w:rsidR="00685541">
        <w:rPr>
          <w:bCs/>
          <w:szCs w:val="20"/>
        </w:rPr>
        <w:t>renginyje</w:t>
      </w:r>
      <w:r w:rsidR="00137EA7" w:rsidRPr="00137EA7">
        <w:rPr>
          <w:bCs/>
          <w:szCs w:val="20"/>
        </w:rPr>
        <w:t xml:space="preserve"> „Mažosios Lietuvos sąskambiai“</w:t>
      </w:r>
      <w:r w:rsidR="00685541">
        <w:rPr>
          <w:bCs/>
          <w:szCs w:val="20"/>
        </w:rPr>
        <w:t xml:space="preserve"> Klaipėdoje. Kapela „Kuršininkai“ dalyvavo</w:t>
      </w:r>
      <w:r w:rsidR="00137EA7" w:rsidRPr="00137EA7">
        <w:rPr>
          <w:bCs/>
          <w:szCs w:val="20"/>
        </w:rPr>
        <w:t xml:space="preserve"> </w:t>
      </w:r>
      <w:r w:rsidR="00685541">
        <w:rPr>
          <w:bCs/>
          <w:szCs w:val="20"/>
        </w:rPr>
        <w:t>r</w:t>
      </w:r>
      <w:r w:rsidR="001B79CB" w:rsidRPr="00137EA7">
        <w:rPr>
          <w:bCs/>
          <w:szCs w:val="20"/>
        </w:rPr>
        <w:t>espublikinė</w:t>
      </w:r>
      <w:r w:rsidR="00685541">
        <w:rPr>
          <w:bCs/>
          <w:szCs w:val="20"/>
        </w:rPr>
        <w:t>je</w:t>
      </w:r>
      <w:r w:rsidR="001B79CB" w:rsidRPr="00137EA7">
        <w:rPr>
          <w:bCs/>
          <w:szCs w:val="20"/>
        </w:rPr>
        <w:t xml:space="preserve"> kapelų šventė</w:t>
      </w:r>
      <w:r w:rsidR="00685541">
        <w:rPr>
          <w:bCs/>
          <w:szCs w:val="20"/>
        </w:rPr>
        <w:t>je</w:t>
      </w:r>
      <w:r w:rsidR="001B79CB" w:rsidRPr="00137EA7">
        <w:rPr>
          <w:bCs/>
          <w:szCs w:val="20"/>
        </w:rPr>
        <w:t xml:space="preserve"> </w:t>
      </w:r>
      <w:r w:rsidR="00685541">
        <w:rPr>
          <w:bCs/>
          <w:szCs w:val="20"/>
        </w:rPr>
        <w:t>„</w:t>
      </w:r>
      <w:r w:rsidR="001B79CB" w:rsidRPr="00137EA7">
        <w:rPr>
          <w:bCs/>
          <w:szCs w:val="20"/>
        </w:rPr>
        <w:t>Girkalnio Griežynė</w:t>
      </w:r>
      <w:r w:rsidR="00685541">
        <w:rPr>
          <w:bCs/>
          <w:szCs w:val="20"/>
        </w:rPr>
        <w:t>“.</w:t>
      </w:r>
      <w:r w:rsidR="00BB56CA" w:rsidRPr="00137EA7">
        <w:rPr>
          <w:bCs/>
          <w:szCs w:val="20"/>
        </w:rPr>
        <w:t xml:space="preserve"> </w:t>
      </w:r>
      <w:r w:rsidR="00685541">
        <w:rPr>
          <w:bCs/>
          <w:szCs w:val="20"/>
        </w:rPr>
        <w:t xml:space="preserve">Moterų </w:t>
      </w:r>
      <w:r w:rsidR="00BB56CA" w:rsidRPr="00137EA7">
        <w:rPr>
          <w:bCs/>
          <w:szCs w:val="20"/>
        </w:rPr>
        <w:t xml:space="preserve">vokalinis ansamblis „Neringa“ </w:t>
      </w:r>
      <w:r w:rsidR="00685541">
        <w:rPr>
          <w:bCs/>
          <w:szCs w:val="20"/>
        </w:rPr>
        <w:t xml:space="preserve">pelnė </w:t>
      </w:r>
      <w:r w:rsidR="00137EA7" w:rsidRPr="00137EA7">
        <w:rPr>
          <w:bCs/>
          <w:szCs w:val="20"/>
        </w:rPr>
        <w:t xml:space="preserve">III vietą Lietuvos nacionalinio kultūros centro solistų ir vokalinių ansamblių konkurse </w:t>
      </w:r>
      <w:r w:rsidR="00685541">
        <w:rPr>
          <w:bCs/>
          <w:szCs w:val="20"/>
        </w:rPr>
        <w:t>„S</w:t>
      </w:r>
      <w:r w:rsidR="00685541" w:rsidRPr="00137EA7">
        <w:rPr>
          <w:bCs/>
          <w:szCs w:val="20"/>
        </w:rPr>
        <w:t>idabriniai balsai</w:t>
      </w:r>
      <w:r w:rsidR="00685541">
        <w:rPr>
          <w:bCs/>
          <w:szCs w:val="20"/>
        </w:rPr>
        <w:t xml:space="preserve">“ </w:t>
      </w:r>
      <w:r w:rsidR="00137EA7" w:rsidRPr="00137EA7">
        <w:rPr>
          <w:bCs/>
          <w:szCs w:val="20"/>
        </w:rPr>
        <w:t xml:space="preserve">ir tapo I laipsnio konkurso laureatais. </w:t>
      </w:r>
      <w:r w:rsidR="00685541">
        <w:rPr>
          <w:bCs/>
          <w:szCs w:val="20"/>
        </w:rPr>
        <w:t xml:space="preserve">Kolektyvai dalyvavo projekto </w:t>
      </w:r>
      <w:r w:rsidR="00685541" w:rsidRPr="00CB726B">
        <w:t>„Neringa – Lietuvos kultūros s</w:t>
      </w:r>
      <w:r w:rsidR="00685541">
        <w:t>ala</w:t>
      </w:r>
      <w:r w:rsidR="00685541" w:rsidRPr="00CB726B">
        <w:t>“</w:t>
      </w:r>
      <w:r w:rsidR="00685541">
        <w:t xml:space="preserve"> renginiuose:</w:t>
      </w:r>
      <w:r w:rsidR="00685541" w:rsidRPr="00CB726B">
        <w:t xml:space="preserve"> </w:t>
      </w:r>
      <w:r w:rsidR="00685541">
        <w:t>„</w:t>
      </w:r>
      <w:r w:rsidR="00685541" w:rsidRPr="00137EA7">
        <w:rPr>
          <w:bCs/>
          <w:szCs w:val="20"/>
        </w:rPr>
        <w:t>EKO kart</w:t>
      </w:r>
      <w:r w:rsidR="00685541">
        <w:rPr>
          <w:bCs/>
          <w:szCs w:val="20"/>
        </w:rPr>
        <w:t xml:space="preserve">a“, </w:t>
      </w:r>
      <w:r w:rsidR="00685541" w:rsidRPr="00137EA7">
        <w:rPr>
          <w:bCs/>
          <w:szCs w:val="20"/>
        </w:rPr>
        <w:t xml:space="preserve"> </w:t>
      </w:r>
      <w:r w:rsidR="00182137">
        <w:rPr>
          <w:bCs/>
          <w:szCs w:val="20"/>
        </w:rPr>
        <w:t>o</w:t>
      </w:r>
      <w:r w:rsidR="00182137" w:rsidRPr="00161B5B">
        <w:t>pera – triptikas  „Neringa“</w:t>
      </w:r>
      <w:r w:rsidR="00182137">
        <w:t>.</w:t>
      </w:r>
      <w:r w:rsidR="00182137" w:rsidRPr="00161B5B">
        <w:t xml:space="preserve"> </w:t>
      </w:r>
      <w:r w:rsidR="007D2781" w:rsidRPr="00137EA7">
        <w:rPr>
          <w:bCs/>
          <w:szCs w:val="20"/>
        </w:rPr>
        <w:t xml:space="preserve">Mėgėjų meno kolektyvai sukūrė </w:t>
      </w:r>
      <w:r w:rsidR="00526CEE">
        <w:rPr>
          <w:bCs/>
          <w:szCs w:val="20"/>
        </w:rPr>
        <w:t>9</w:t>
      </w:r>
      <w:r w:rsidR="007D2781" w:rsidRPr="00137EA7">
        <w:rPr>
          <w:bCs/>
          <w:szCs w:val="20"/>
        </w:rPr>
        <w:t xml:space="preserve"> naujas koncertines programas. </w:t>
      </w:r>
    </w:p>
    <w:p w14:paraId="202C5033" w14:textId="77777777" w:rsidR="008B22FA" w:rsidRPr="00553556" w:rsidRDefault="008B22FA" w:rsidP="00553556">
      <w:pPr>
        <w:ind w:firstLine="1296"/>
        <w:jc w:val="both"/>
        <w:rPr>
          <w:rFonts w:eastAsiaTheme="minorHAnsi"/>
          <w:lang w:eastAsia="en-US"/>
        </w:rPr>
      </w:pPr>
    </w:p>
    <w:p w14:paraId="5493BC1D" w14:textId="63C59B45" w:rsidR="001D1291" w:rsidRDefault="00514820" w:rsidP="00EA0BFA">
      <w:pPr>
        <w:ind w:firstLine="1296"/>
        <w:jc w:val="both"/>
      </w:pPr>
      <w:r w:rsidRPr="00960594">
        <w:lastRenderedPageBreak/>
        <w:t>2.2.</w:t>
      </w:r>
      <w:r w:rsidR="001911E3" w:rsidRPr="00960594">
        <w:t>3</w:t>
      </w:r>
      <w:r w:rsidRPr="005B5627">
        <w:t xml:space="preserve">. </w:t>
      </w:r>
      <w:r w:rsidR="00D77681" w:rsidRPr="005B5627">
        <w:t xml:space="preserve">Pastatų, patalpų ir aplinkos </w:t>
      </w:r>
      <w:r w:rsidR="00D90A34" w:rsidRPr="005B5627">
        <w:t>gerinimas bei m</w:t>
      </w:r>
      <w:r w:rsidR="00960594" w:rsidRPr="005B5627">
        <w:t>aterialiojo turto įsigijimas.</w:t>
      </w:r>
      <w:r w:rsidR="00D77681" w:rsidRPr="005B5627">
        <w:t xml:space="preserve"> </w:t>
      </w:r>
      <w:r w:rsidR="00B67E63" w:rsidRPr="005B5627">
        <w:rPr>
          <w:bCs/>
          <w:szCs w:val="20"/>
        </w:rPr>
        <w:t xml:space="preserve"> Liudviko Rėzos kultūros centro ir Kuršių nerijos nacionalinio parko direkcijos lankytojų centro pastatai tur</w:t>
      </w:r>
      <w:r w:rsidR="00AF0134">
        <w:rPr>
          <w:bCs/>
          <w:szCs w:val="20"/>
        </w:rPr>
        <w:t>ėjo</w:t>
      </w:r>
      <w:r w:rsidR="00B67E63" w:rsidRPr="005B5627">
        <w:rPr>
          <w:bCs/>
          <w:szCs w:val="20"/>
        </w:rPr>
        <w:t xml:space="preserve"> bendrus vandentiekio, šilumos ir elektros perdavimo tinklus. </w:t>
      </w:r>
      <w:r w:rsidR="00AF0134">
        <w:rPr>
          <w:bCs/>
          <w:szCs w:val="20"/>
        </w:rPr>
        <w:t xml:space="preserve">Buvo suprojektuoti bei įrengti nauji </w:t>
      </w:r>
      <w:r w:rsidR="00AD3E6B" w:rsidRPr="00EA0BFA">
        <w:t>elektros</w:t>
      </w:r>
      <w:r w:rsidR="00AF0134" w:rsidRPr="00EA0BFA">
        <w:t xml:space="preserve"> bei</w:t>
      </w:r>
      <w:r w:rsidR="00AD3E6B" w:rsidRPr="00EA0BFA">
        <w:t xml:space="preserve"> vandentiekio</w:t>
      </w:r>
      <w:r w:rsidR="00AF0134" w:rsidRPr="00EA0BFA">
        <w:t xml:space="preserve"> tinklai</w:t>
      </w:r>
      <w:r w:rsidR="00AD3E6B" w:rsidRPr="00EA0BFA">
        <w:t xml:space="preserve"> į L. Rėzos g. 8</w:t>
      </w:r>
      <w:r w:rsidR="00AF0134" w:rsidRPr="00EA0BFA">
        <w:t xml:space="preserve"> </w:t>
      </w:r>
      <w:r w:rsidR="00AD3E6B" w:rsidRPr="00EA0BFA">
        <w:t>B</w:t>
      </w:r>
      <w:r w:rsidR="00AF0134" w:rsidRPr="00EA0BFA">
        <w:t xml:space="preserve"> pastatą. Atjungus šildymą iš centralizuotų tinklų, buvo nupirkt</w:t>
      </w:r>
      <w:r w:rsidR="00A80617">
        <w:t>a 1</w:t>
      </w:r>
      <w:r w:rsidR="00374990">
        <w:t>7</w:t>
      </w:r>
      <w:r w:rsidR="00A80617">
        <w:t xml:space="preserve"> vnt.</w:t>
      </w:r>
      <w:r w:rsidR="00AF0134" w:rsidRPr="00EA0BFA">
        <w:t xml:space="preserve"> elektrini</w:t>
      </w:r>
      <w:r w:rsidR="00A80617">
        <w:t>ų</w:t>
      </w:r>
      <w:r w:rsidR="00AF0134" w:rsidRPr="00EA0BFA">
        <w:t xml:space="preserve"> radiatori</w:t>
      </w:r>
      <w:r w:rsidR="00A80617">
        <w:t>ų</w:t>
      </w:r>
      <w:r w:rsidR="00AF0134" w:rsidRPr="00EA0BFA">
        <w:t xml:space="preserve">, </w:t>
      </w:r>
      <w:r w:rsidR="00A80617">
        <w:t xml:space="preserve">pastebėjus, kad </w:t>
      </w:r>
      <w:r w:rsidR="00AF0134" w:rsidRPr="00EA0BFA">
        <w:t>vidaus elektros instaliacija</w:t>
      </w:r>
      <w:r w:rsidR="00A80617" w:rsidRPr="00A80617">
        <w:t xml:space="preserve"> </w:t>
      </w:r>
      <w:r w:rsidR="002F764C">
        <w:t xml:space="preserve">neatlaiko didelių apkrovų, </w:t>
      </w:r>
      <w:r w:rsidR="00A80617">
        <w:t xml:space="preserve">ji buvo </w:t>
      </w:r>
      <w:r w:rsidR="00A80617" w:rsidRPr="00EA0BFA">
        <w:t>remontuota</w:t>
      </w:r>
      <w:r w:rsidR="00AF0134" w:rsidRPr="00EA0BFA">
        <w:t>.</w:t>
      </w:r>
      <w:r w:rsidR="00AD3E6B" w:rsidRPr="00EA0BFA">
        <w:t xml:space="preserve"> </w:t>
      </w:r>
      <w:r w:rsidR="00AF0134" w:rsidRPr="00EA0BFA">
        <w:t xml:space="preserve">Projekto FIXUS </w:t>
      </w:r>
      <w:r w:rsidR="00DD5504" w:rsidRPr="00EA0BFA">
        <w:t>prevencinės priežiūros specialistų komanda detaliai apžiūr</w:t>
      </w:r>
      <w:r w:rsidR="00AF0134" w:rsidRPr="00EA0BFA">
        <w:t>ėjo</w:t>
      </w:r>
      <w:r w:rsidR="00DD5504" w:rsidRPr="00EA0BFA">
        <w:t xml:space="preserve"> visas, net ir</w:t>
      </w:r>
      <w:r w:rsidR="00FB73D2" w:rsidRPr="00EA0BFA">
        <w:t xml:space="preserve"> </w:t>
      </w:r>
      <w:r w:rsidR="00DD5504" w:rsidRPr="00EA0BFA">
        <w:t>sunkiai prieinamas statinio</w:t>
      </w:r>
      <w:r w:rsidR="00AF0134" w:rsidRPr="00EA0BFA">
        <w:t xml:space="preserve">, esančio </w:t>
      </w:r>
      <w:r w:rsidR="00DD5504" w:rsidRPr="00EA0BFA">
        <w:t xml:space="preserve"> </w:t>
      </w:r>
      <w:r w:rsidR="00AF0134" w:rsidRPr="00EA0BFA">
        <w:t xml:space="preserve">L. Rėzos g. 8 B, </w:t>
      </w:r>
      <w:r w:rsidR="00DD5504" w:rsidRPr="00EA0BFA">
        <w:t>dalis, atlik</w:t>
      </w:r>
      <w:r w:rsidR="00AF0134" w:rsidRPr="00EA0BFA">
        <w:t>o</w:t>
      </w:r>
      <w:r w:rsidR="00DD5504" w:rsidRPr="00EA0BFA">
        <w:t xml:space="preserve"> nedidelės apimties priežiūros ir tvarkymo darbus, pa</w:t>
      </w:r>
      <w:r w:rsidR="00A80617">
        <w:t>ė</w:t>
      </w:r>
      <w:r w:rsidR="00DD5504" w:rsidRPr="00EA0BFA">
        <w:t>m</w:t>
      </w:r>
      <w:r w:rsidR="00AF0134" w:rsidRPr="00EA0BFA">
        <w:t>ė</w:t>
      </w:r>
      <w:r w:rsidR="00FB73D2" w:rsidRPr="00EA0BFA">
        <w:t xml:space="preserve"> </w:t>
      </w:r>
      <w:r w:rsidR="00DD5504" w:rsidRPr="00EA0BFA">
        <w:t>mėginius būtiniems laboratoriniams tyrimams</w:t>
      </w:r>
      <w:r w:rsidR="00EA0BFA" w:rsidRPr="00EA0BFA">
        <w:t xml:space="preserve">, </w:t>
      </w:r>
      <w:r w:rsidR="00DD5504" w:rsidRPr="00EA0BFA">
        <w:t>pateik</w:t>
      </w:r>
      <w:r w:rsidR="00EA0BFA" w:rsidRPr="00EA0BFA">
        <w:t>ė</w:t>
      </w:r>
      <w:r w:rsidR="00DD5504" w:rsidRPr="00EA0BFA">
        <w:t xml:space="preserve"> statinio apžiūros ataskait</w:t>
      </w:r>
      <w:r w:rsidR="00EA0BFA" w:rsidRPr="00EA0BFA">
        <w:t>ą</w:t>
      </w:r>
      <w:r w:rsidR="00DD5504" w:rsidRPr="00EA0BFA">
        <w:t xml:space="preserve"> –</w:t>
      </w:r>
      <w:r w:rsidR="002F764C">
        <w:t xml:space="preserve"> </w:t>
      </w:r>
      <w:r w:rsidR="00DD5504" w:rsidRPr="00EA0BFA">
        <w:t>pastato techninės būklės vertinim</w:t>
      </w:r>
      <w:r w:rsidR="00EA0BFA" w:rsidRPr="00EA0BFA">
        <w:t>ą</w:t>
      </w:r>
      <w:r w:rsidR="00DD5504" w:rsidRPr="00EA0BFA">
        <w:t>, kalendorinės priežiūros plan</w:t>
      </w:r>
      <w:r w:rsidR="00EA0BFA" w:rsidRPr="00EA0BFA">
        <w:t>ą</w:t>
      </w:r>
      <w:r w:rsidR="00DD5504" w:rsidRPr="00EA0BFA">
        <w:t xml:space="preserve"> ir rekomendacij</w:t>
      </w:r>
      <w:r w:rsidR="00EA0BFA" w:rsidRPr="00EA0BFA">
        <w:t>a</w:t>
      </w:r>
      <w:r w:rsidR="00DD5504" w:rsidRPr="00EA0BFA">
        <w:t>s tvarkybos</w:t>
      </w:r>
      <w:r w:rsidR="00FB73D2" w:rsidRPr="00EA0BFA">
        <w:t xml:space="preserve"> </w:t>
      </w:r>
      <w:r w:rsidR="00DD5504" w:rsidRPr="00EA0BFA">
        <w:t xml:space="preserve">darbams. </w:t>
      </w:r>
      <w:r w:rsidR="00EA0BFA" w:rsidRPr="00EA0BFA">
        <w:t>Projekto metu buvo p</w:t>
      </w:r>
      <w:r w:rsidR="00DD5504" w:rsidRPr="00EA0BFA">
        <w:t>akeistos prarastos šiaurės rytų fasado ir supuvusios pietrytinio fasado</w:t>
      </w:r>
      <w:r w:rsidR="00EA0BFA" w:rsidRPr="00EA0BFA">
        <w:t xml:space="preserve"> </w:t>
      </w:r>
      <w:r w:rsidR="00DD5504" w:rsidRPr="00EA0BFA">
        <w:t>prieangio abiejų šlaitų vožtinės vėjalentės. Nuvalytos ir dažyve padengtos išblukusios medinio prieangio priekinės vėjalentės</w:t>
      </w:r>
      <w:r w:rsidR="00036BCC" w:rsidRPr="00EA0BFA">
        <w:t>.</w:t>
      </w:r>
      <w:r w:rsidR="00DD5504" w:rsidRPr="00EA0BFA">
        <w:t xml:space="preserve"> Tvarkyti ir laikinai paremti supuvę pietryčių fasado prieangio medinės konstrukcijos</w:t>
      </w:r>
      <w:r w:rsidR="00D556F8" w:rsidRPr="00EA0BFA">
        <w:t xml:space="preserve"> </w:t>
      </w:r>
      <w:r w:rsidR="00DD5504" w:rsidRPr="00EA0BFA">
        <w:t>elementai</w:t>
      </w:r>
      <w:r w:rsidR="00EA0BFA" w:rsidRPr="00EA0BFA">
        <w:t>.</w:t>
      </w:r>
      <w:r w:rsidR="00DD5504" w:rsidRPr="00EA0BFA">
        <w:t xml:space="preserve"> Buvo atlikti sklypo</w:t>
      </w:r>
      <w:r w:rsidR="00EA0BFA" w:rsidRPr="00EA0BFA">
        <w:t>, esančio L. Rėzos g. 54,</w:t>
      </w:r>
      <w:r w:rsidR="00DD5504" w:rsidRPr="00EA0BFA">
        <w:t xml:space="preserve"> </w:t>
      </w:r>
      <w:r w:rsidR="00EA0BFA" w:rsidRPr="00EA0BFA">
        <w:t>kadastriniai</w:t>
      </w:r>
      <w:r w:rsidR="00DD5504" w:rsidRPr="00EA0BFA">
        <w:t xml:space="preserve"> matavimo darbai, nustatytos sklypo ribos</w:t>
      </w:r>
      <w:r w:rsidR="00EA0BFA" w:rsidRPr="00EA0BFA">
        <w:t>.</w:t>
      </w:r>
    </w:p>
    <w:p w14:paraId="2FD5BA5C" w14:textId="77777777" w:rsidR="00D90A34" w:rsidRDefault="00D90A34" w:rsidP="006B5703">
      <w:pPr>
        <w:tabs>
          <w:tab w:val="left" w:pos="851"/>
        </w:tabs>
        <w:ind w:left="360"/>
        <w:rPr>
          <w:u w:val="single"/>
        </w:rPr>
      </w:pPr>
    </w:p>
    <w:p w14:paraId="355B2707" w14:textId="77777777" w:rsidR="006B5703" w:rsidRPr="006B5703" w:rsidRDefault="00C4618A" w:rsidP="008A07E8">
      <w:pPr>
        <w:tabs>
          <w:tab w:val="left" w:pos="851"/>
        </w:tabs>
        <w:ind w:left="709" w:hanging="349"/>
        <w:rPr>
          <w:u w:val="single"/>
        </w:rPr>
      </w:pPr>
      <w:r w:rsidRPr="00C4618A">
        <w:tab/>
      </w:r>
      <w:r w:rsidRPr="00C4618A">
        <w:tab/>
      </w:r>
      <w:r w:rsidRPr="00C4618A">
        <w:tab/>
      </w:r>
      <w:r w:rsidR="006B5703" w:rsidRPr="00F93ED4">
        <w:rPr>
          <w:u w:val="single"/>
        </w:rPr>
        <w:t>2.3. Pagrindinių</w:t>
      </w:r>
      <w:r w:rsidR="006B5703" w:rsidRPr="006B5703">
        <w:rPr>
          <w:u w:val="single"/>
        </w:rPr>
        <w:t xml:space="preserve"> veiklos rodiklių pokytis lyginant su praėjusiais metais</w:t>
      </w:r>
      <w:r w:rsidR="00F93ED4">
        <w:rPr>
          <w:u w:val="single"/>
        </w:rPr>
        <w:t>.</w:t>
      </w:r>
    </w:p>
    <w:p w14:paraId="04F4F596" w14:textId="77777777" w:rsidR="00D90A34" w:rsidRDefault="00D90A34" w:rsidP="00817D98">
      <w:pPr>
        <w:pStyle w:val="Betarp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7E3E41" w14:textId="7AD08225" w:rsidR="00107327" w:rsidRPr="00F76258" w:rsidRDefault="00615592" w:rsidP="004F7D43">
      <w:pPr>
        <w:pStyle w:val="Betarp"/>
        <w:ind w:left="284" w:firstLine="10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</w:t>
      </w:r>
      <w:r w:rsidR="00817D98" w:rsidRPr="00F93ED4">
        <w:rPr>
          <w:rFonts w:ascii="Times New Roman" w:hAnsi="Times New Roman" w:cs="Times New Roman"/>
          <w:sz w:val="24"/>
          <w:szCs w:val="24"/>
        </w:rPr>
        <w:t xml:space="preserve">ankytojų </w:t>
      </w:r>
      <w:r w:rsidR="0024766E" w:rsidRPr="00F93ED4">
        <w:rPr>
          <w:rFonts w:ascii="Times New Roman" w:hAnsi="Times New Roman" w:cs="Times New Roman"/>
          <w:sz w:val="24"/>
          <w:szCs w:val="24"/>
        </w:rPr>
        <w:t xml:space="preserve">ir dalyvių </w:t>
      </w:r>
      <w:r w:rsidR="00817D98" w:rsidRPr="00F93ED4">
        <w:rPr>
          <w:rFonts w:ascii="Times New Roman" w:hAnsi="Times New Roman" w:cs="Times New Roman"/>
          <w:sz w:val="24"/>
          <w:szCs w:val="24"/>
        </w:rPr>
        <w:t>skaičius</w:t>
      </w:r>
      <w:r w:rsidR="00817D98" w:rsidRPr="00F76258">
        <w:rPr>
          <w:rFonts w:ascii="Times New Roman" w:hAnsi="Times New Roman" w:cs="Times New Roman"/>
          <w:sz w:val="24"/>
          <w:szCs w:val="24"/>
        </w:rPr>
        <w:t xml:space="preserve">: 2016 m. </w:t>
      </w:r>
      <w:r w:rsidR="0024766E">
        <w:rPr>
          <w:rFonts w:ascii="Times New Roman" w:hAnsi="Times New Roman" w:cs="Times New Roman"/>
          <w:sz w:val="24"/>
          <w:szCs w:val="24"/>
        </w:rPr>
        <w:t xml:space="preserve">– </w:t>
      </w:r>
      <w:r w:rsidR="00817D98" w:rsidRPr="00F76258">
        <w:rPr>
          <w:rFonts w:ascii="Times New Roman" w:hAnsi="Times New Roman" w:cs="Times New Roman"/>
          <w:sz w:val="24"/>
          <w:szCs w:val="24"/>
        </w:rPr>
        <w:t>17852</w:t>
      </w:r>
      <w:r w:rsidR="0024766E">
        <w:rPr>
          <w:rFonts w:ascii="Times New Roman" w:hAnsi="Times New Roman" w:cs="Times New Roman"/>
          <w:sz w:val="24"/>
          <w:szCs w:val="24"/>
        </w:rPr>
        <w:t xml:space="preserve">, </w:t>
      </w:r>
      <w:r w:rsidR="0024766E" w:rsidRPr="00F76258">
        <w:rPr>
          <w:rFonts w:ascii="Times New Roman" w:hAnsi="Times New Roman" w:cs="Times New Roman"/>
          <w:sz w:val="24"/>
          <w:szCs w:val="24"/>
        </w:rPr>
        <w:t>201</w:t>
      </w:r>
      <w:r w:rsidR="0024766E">
        <w:rPr>
          <w:rFonts w:ascii="Times New Roman" w:hAnsi="Times New Roman" w:cs="Times New Roman"/>
          <w:sz w:val="24"/>
          <w:szCs w:val="24"/>
        </w:rPr>
        <w:t>7</w:t>
      </w:r>
      <w:r w:rsidR="0024766E" w:rsidRPr="00F76258">
        <w:rPr>
          <w:rFonts w:ascii="Times New Roman" w:hAnsi="Times New Roman" w:cs="Times New Roman"/>
          <w:sz w:val="24"/>
          <w:szCs w:val="24"/>
        </w:rPr>
        <w:t xml:space="preserve"> m. </w:t>
      </w:r>
      <w:r w:rsidR="0024766E">
        <w:rPr>
          <w:rFonts w:ascii="Times New Roman" w:hAnsi="Times New Roman" w:cs="Times New Roman"/>
          <w:sz w:val="24"/>
          <w:szCs w:val="24"/>
        </w:rPr>
        <w:t>– 17474</w:t>
      </w:r>
      <w:r w:rsidR="005F0D90">
        <w:rPr>
          <w:rFonts w:ascii="Times New Roman" w:hAnsi="Times New Roman" w:cs="Times New Roman"/>
          <w:sz w:val="24"/>
          <w:szCs w:val="24"/>
        </w:rPr>
        <w:t xml:space="preserve">, 2018 m. – </w:t>
      </w:r>
      <w:r w:rsidR="001E006C">
        <w:rPr>
          <w:rFonts w:ascii="Times New Roman" w:hAnsi="Times New Roman" w:cs="Times New Roman"/>
          <w:sz w:val="24"/>
          <w:szCs w:val="24"/>
        </w:rPr>
        <w:t>17645</w:t>
      </w:r>
      <w:r w:rsidR="00293E17">
        <w:rPr>
          <w:rFonts w:ascii="Times New Roman" w:hAnsi="Times New Roman" w:cs="Times New Roman"/>
          <w:sz w:val="24"/>
          <w:szCs w:val="24"/>
        </w:rPr>
        <w:t>, 2019</w:t>
      </w:r>
      <w:r w:rsidR="008B7499">
        <w:rPr>
          <w:rFonts w:ascii="Times New Roman" w:hAnsi="Times New Roman" w:cs="Times New Roman"/>
          <w:sz w:val="24"/>
          <w:szCs w:val="24"/>
        </w:rPr>
        <w:t> </w:t>
      </w:r>
      <w:r w:rsidR="00107327">
        <w:rPr>
          <w:rFonts w:ascii="Times New Roman" w:hAnsi="Times New Roman" w:cs="Times New Roman"/>
          <w:sz w:val="24"/>
          <w:szCs w:val="24"/>
        </w:rPr>
        <w:t>m.</w:t>
      </w:r>
      <w:r w:rsidR="00293E17">
        <w:rPr>
          <w:rFonts w:ascii="Times New Roman" w:hAnsi="Times New Roman" w:cs="Times New Roman"/>
          <w:sz w:val="24"/>
          <w:szCs w:val="24"/>
        </w:rPr>
        <w:t xml:space="preserve"> </w:t>
      </w:r>
      <w:r w:rsidR="0070201B">
        <w:rPr>
          <w:rFonts w:ascii="Times New Roman" w:hAnsi="Times New Roman" w:cs="Times New Roman"/>
          <w:sz w:val="24"/>
          <w:szCs w:val="24"/>
        </w:rPr>
        <w:t>–</w:t>
      </w:r>
      <w:r w:rsidR="00293E17">
        <w:rPr>
          <w:rFonts w:ascii="Times New Roman" w:hAnsi="Times New Roman" w:cs="Times New Roman"/>
          <w:sz w:val="24"/>
          <w:szCs w:val="24"/>
        </w:rPr>
        <w:t xml:space="preserve"> </w:t>
      </w:r>
      <w:r w:rsidR="0070201B">
        <w:rPr>
          <w:rFonts w:ascii="Times New Roman" w:hAnsi="Times New Roman" w:cs="Times New Roman"/>
          <w:sz w:val="24"/>
          <w:szCs w:val="24"/>
        </w:rPr>
        <w:t>1</w:t>
      </w:r>
      <w:r w:rsidR="0091054E">
        <w:rPr>
          <w:rFonts w:ascii="Times New Roman" w:hAnsi="Times New Roman" w:cs="Times New Roman"/>
          <w:sz w:val="24"/>
          <w:szCs w:val="24"/>
        </w:rPr>
        <w:t>4</w:t>
      </w:r>
      <w:r w:rsidR="00B01E12">
        <w:rPr>
          <w:rFonts w:ascii="Times New Roman" w:hAnsi="Times New Roman" w:cs="Times New Roman"/>
          <w:sz w:val="24"/>
          <w:szCs w:val="24"/>
        </w:rPr>
        <w:t>9</w:t>
      </w:r>
      <w:r w:rsidR="0091054E">
        <w:rPr>
          <w:rFonts w:ascii="Times New Roman" w:hAnsi="Times New Roman" w:cs="Times New Roman"/>
          <w:sz w:val="24"/>
          <w:szCs w:val="24"/>
        </w:rPr>
        <w:t>48</w:t>
      </w:r>
      <w:r w:rsidR="00107327">
        <w:rPr>
          <w:rFonts w:ascii="Times New Roman" w:hAnsi="Times New Roman" w:cs="Times New Roman"/>
          <w:sz w:val="24"/>
          <w:szCs w:val="24"/>
        </w:rPr>
        <w:t xml:space="preserve">, </w:t>
      </w:r>
      <w:r w:rsidR="00107327" w:rsidRPr="007D2781">
        <w:rPr>
          <w:rFonts w:ascii="Times New Roman" w:hAnsi="Times New Roman" w:cs="Times New Roman"/>
          <w:sz w:val="24"/>
          <w:szCs w:val="24"/>
        </w:rPr>
        <w:t xml:space="preserve">2020 m. – </w:t>
      </w:r>
      <w:r w:rsidR="007D2781" w:rsidRPr="007D2781">
        <w:rPr>
          <w:rFonts w:ascii="Times New Roman" w:hAnsi="Times New Roman" w:cs="Times New Roman"/>
          <w:sz w:val="24"/>
          <w:szCs w:val="24"/>
        </w:rPr>
        <w:t>11180</w:t>
      </w:r>
      <w:r w:rsidR="00727B97">
        <w:rPr>
          <w:rFonts w:ascii="Times New Roman" w:hAnsi="Times New Roman" w:cs="Times New Roman"/>
          <w:sz w:val="24"/>
          <w:szCs w:val="24"/>
        </w:rPr>
        <w:t xml:space="preserve">, 2021 m. </w:t>
      </w:r>
      <w:r w:rsidR="002D2941">
        <w:rPr>
          <w:rFonts w:ascii="Times New Roman" w:hAnsi="Times New Roman" w:cs="Times New Roman"/>
          <w:sz w:val="24"/>
          <w:szCs w:val="24"/>
        </w:rPr>
        <w:t>–</w:t>
      </w:r>
      <w:r w:rsidR="00727B97">
        <w:rPr>
          <w:rFonts w:ascii="Times New Roman" w:hAnsi="Times New Roman" w:cs="Times New Roman"/>
          <w:sz w:val="24"/>
          <w:szCs w:val="24"/>
        </w:rPr>
        <w:t xml:space="preserve"> </w:t>
      </w:r>
      <w:r w:rsidR="002D2941">
        <w:rPr>
          <w:rFonts w:ascii="Times New Roman" w:hAnsi="Times New Roman" w:cs="Times New Roman"/>
          <w:sz w:val="24"/>
          <w:szCs w:val="24"/>
        </w:rPr>
        <w:t>21230 (</w:t>
      </w:r>
      <w:r w:rsidR="00AD3E6B">
        <w:rPr>
          <w:rFonts w:ascii="Times New Roman" w:hAnsi="Times New Roman" w:cs="Times New Roman"/>
          <w:sz w:val="24"/>
          <w:szCs w:val="24"/>
        </w:rPr>
        <w:t xml:space="preserve">kartu su </w:t>
      </w:r>
      <w:r w:rsidR="002D2941">
        <w:rPr>
          <w:rFonts w:ascii="Times New Roman" w:hAnsi="Times New Roman" w:cs="Times New Roman"/>
          <w:sz w:val="24"/>
          <w:szCs w:val="24"/>
        </w:rPr>
        <w:t>nuotolinių renginių peržiūr</w:t>
      </w:r>
      <w:r w:rsidR="00AD3E6B">
        <w:rPr>
          <w:rFonts w:ascii="Times New Roman" w:hAnsi="Times New Roman" w:cs="Times New Roman"/>
          <w:sz w:val="24"/>
          <w:szCs w:val="24"/>
        </w:rPr>
        <w:t>omis</w:t>
      </w:r>
      <w:r w:rsidR="002D2941">
        <w:rPr>
          <w:rFonts w:ascii="Times New Roman" w:hAnsi="Times New Roman" w:cs="Times New Roman"/>
          <w:sz w:val="24"/>
          <w:szCs w:val="24"/>
        </w:rPr>
        <w:t>)</w:t>
      </w:r>
      <w:r w:rsidR="004F7D43">
        <w:rPr>
          <w:rFonts w:ascii="Times New Roman" w:hAnsi="Times New Roman" w:cs="Times New Roman"/>
          <w:sz w:val="24"/>
          <w:szCs w:val="24"/>
        </w:rPr>
        <w:t>.</w:t>
      </w:r>
    </w:p>
    <w:p w14:paraId="3A271762" w14:textId="77777777" w:rsidR="00B741BF" w:rsidRPr="00072D55" w:rsidRDefault="00B741BF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3823"/>
        <w:gridCol w:w="1134"/>
        <w:gridCol w:w="1031"/>
        <w:gridCol w:w="1069"/>
        <w:gridCol w:w="1108"/>
        <w:gridCol w:w="1044"/>
      </w:tblGrid>
      <w:tr w:rsidR="00727B97" w14:paraId="3F46AD27" w14:textId="77777777" w:rsidTr="00727B97">
        <w:trPr>
          <w:trHeight w:val="541"/>
        </w:trPr>
        <w:tc>
          <w:tcPr>
            <w:tcW w:w="3823" w:type="dxa"/>
            <w:vAlign w:val="center"/>
          </w:tcPr>
          <w:p w14:paraId="08B8E74B" w14:textId="77777777" w:rsidR="00727B97" w:rsidRPr="00DD51E7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 w:rsidRPr="00DD51E7">
              <w:rPr>
                <w:b/>
                <w:i/>
                <w:color w:val="000000" w:themeColor="text1"/>
              </w:rPr>
              <w:t>Renginiai</w:t>
            </w:r>
          </w:p>
        </w:tc>
        <w:tc>
          <w:tcPr>
            <w:tcW w:w="1134" w:type="dxa"/>
            <w:vAlign w:val="center"/>
          </w:tcPr>
          <w:p w14:paraId="70394244" w14:textId="68A1C5F9" w:rsidR="00727B97" w:rsidRPr="00094EAD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 w:rsidRPr="00094EAD">
              <w:rPr>
                <w:b/>
                <w:i/>
                <w:color w:val="000000" w:themeColor="text1"/>
              </w:rPr>
              <w:t>2017 m.</w:t>
            </w:r>
          </w:p>
        </w:tc>
        <w:tc>
          <w:tcPr>
            <w:tcW w:w="1031" w:type="dxa"/>
            <w:vAlign w:val="center"/>
          </w:tcPr>
          <w:p w14:paraId="12387825" w14:textId="65B0AD22" w:rsidR="00727B97" w:rsidRPr="00094EAD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 w:rsidRPr="00094EAD">
              <w:rPr>
                <w:b/>
                <w:i/>
                <w:color w:val="000000" w:themeColor="text1"/>
              </w:rPr>
              <w:t>2018 m.</w:t>
            </w:r>
          </w:p>
        </w:tc>
        <w:tc>
          <w:tcPr>
            <w:tcW w:w="1069" w:type="dxa"/>
            <w:vAlign w:val="center"/>
          </w:tcPr>
          <w:p w14:paraId="0C41AE05" w14:textId="04481D0B" w:rsidR="00727B97" w:rsidRPr="00094EAD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2019 m.</w:t>
            </w:r>
          </w:p>
        </w:tc>
        <w:tc>
          <w:tcPr>
            <w:tcW w:w="1108" w:type="dxa"/>
            <w:vAlign w:val="center"/>
          </w:tcPr>
          <w:p w14:paraId="500896BE" w14:textId="5E721F7E" w:rsidR="00727B97" w:rsidRPr="00094EAD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2020 m.</w:t>
            </w:r>
          </w:p>
        </w:tc>
        <w:tc>
          <w:tcPr>
            <w:tcW w:w="1044" w:type="dxa"/>
            <w:vAlign w:val="center"/>
          </w:tcPr>
          <w:p w14:paraId="388DCFCF" w14:textId="6F69F87C" w:rsidR="00727B97" w:rsidRPr="00094EAD" w:rsidRDefault="00727B97" w:rsidP="00727B9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2021 m.</w:t>
            </w:r>
          </w:p>
        </w:tc>
      </w:tr>
      <w:tr w:rsidR="00727B97" w14:paraId="44830DB9" w14:textId="77777777" w:rsidTr="00727B97">
        <w:tc>
          <w:tcPr>
            <w:tcW w:w="3823" w:type="dxa"/>
          </w:tcPr>
          <w:p w14:paraId="156D74D5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Profesionalių menininkų parodos  </w:t>
            </w:r>
          </w:p>
        </w:tc>
        <w:tc>
          <w:tcPr>
            <w:tcW w:w="1134" w:type="dxa"/>
          </w:tcPr>
          <w:p w14:paraId="03D55EC2" w14:textId="2134DCF1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31" w:type="dxa"/>
            <w:vAlign w:val="center"/>
          </w:tcPr>
          <w:p w14:paraId="2ECFF194" w14:textId="45EED049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69" w:type="dxa"/>
          </w:tcPr>
          <w:p w14:paraId="5D62106D" w14:textId="5D8EF115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08" w:type="dxa"/>
          </w:tcPr>
          <w:p w14:paraId="31CA631E" w14:textId="5B2F1996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44" w:type="dxa"/>
          </w:tcPr>
          <w:p w14:paraId="2327C3AE" w14:textId="6E35AFCC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727B97" w14:paraId="09BF9F7D" w14:textId="77777777" w:rsidTr="00727B97">
        <w:tc>
          <w:tcPr>
            <w:tcW w:w="3823" w:type="dxa"/>
          </w:tcPr>
          <w:p w14:paraId="72B24167" w14:textId="77777777" w:rsidR="00727B97" w:rsidRPr="009C1403" w:rsidRDefault="00727B97" w:rsidP="00727B97">
            <w:pPr>
              <w:ind w:left="27" w:hanging="1"/>
            </w:pPr>
            <w:r w:rsidRPr="009C1403">
              <w:t xml:space="preserve">Profesionalių menininkų koncertai (klasikinės, džiazo muzikos) </w:t>
            </w:r>
          </w:p>
        </w:tc>
        <w:tc>
          <w:tcPr>
            <w:tcW w:w="1134" w:type="dxa"/>
            <w:vAlign w:val="center"/>
          </w:tcPr>
          <w:p w14:paraId="5621717A" w14:textId="040CCA3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25</w:t>
            </w:r>
          </w:p>
        </w:tc>
        <w:tc>
          <w:tcPr>
            <w:tcW w:w="1031" w:type="dxa"/>
            <w:vAlign w:val="center"/>
          </w:tcPr>
          <w:p w14:paraId="3A3F07DA" w14:textId="75B95FAD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69" w:type="dxa"/>
            <w:vAlign w:val="center"/>
          </w:tcPr>
          <w:p w14:paraId="72019789" w14:textId="4FC39469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108" w:type="dxa"/>
            <w:vAlign w:val="center"/>
          </w:tcPr>
          <w:p w14:paraId="62AA6129" w14:textId="38F57027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44" w:type="dxa"/>
            <w:vAlign w:val="center"/>
          </w:tcPr>
          <w:p w14:paraId="3B840C65" w14:textId="68157B1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727B97" w14:paraId="6D3F9A59" w14:textId="77777777" w:rsidTr="00727B97">
        <w:tc>
          <w:tcPr>
            <w:tcW w:w="3823" w:type="dxa"/>
          </w:tcPr>
          <w:p w14:paraId="17563350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Profesionalių menininkų spektakliai </w:t>
            </w:r>
          </w:p>
        </w:tc>
        <w:tc>
          <w:tcPr>
            <w:tcW w:w="1134" w:type="dxa"/>
          </w:tcPr>
          <w:p w14:paraId="36814E05" w14:textId="79B67073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2</w:t>
            </w:r>
          </w:p>
        </w:tc>
        <w:tc>
          <w:tcPr>
            <w:tcW w:w="1031" w:type="dxa"/>
            <w:vAlign w:val="center"/>
          </w:tcPr>
          <w:p w14:paraId="3587A2C6" w14:textId="639863E9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69" w:type="dxa"/>
          </w:tcPr>
          <w:p w14:paraId="4A07D210" w14:textId="1D215B8F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08" w:type="dxa"/>
          </w:tcPr>
          <w:p w14:paraId="6406A2E1" w14:textId="3ADC47C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 w:rsidRPr="007D2781">
              <w:t>2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44" w:type="dxa"/>
          </w:tcPr>
          <w:p w14:paraId="60FB40AE" w14:textId="1B202ED3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27B97" w14:paraId="32F9CCCB" w14:textId="77777777" w:rsidTr="00727B97">
        <w:tc>
          <w:tcPr>
            <w:tcW w:w="3823" w:type="dxa"/>
          </w:tcPr>
          <w:p w14:paraId="3C112791" w14:textId="77777777" w:rsidR="00727B97" w:rsidRPr="009C1403" w:rsidRDefault="00727B97" w:rsidP="00727B97">
            <w:pPr>
              <w:ind w:firstLine="26"/>
            </w:pPr>
            <w:r w:rsidRPr="009C1403">
              <w:t xml:space="preserve">Mėgėjų meno kolektyvų koncertai, spektakliai </w:t>
            </w:r>
          </w:p>
        </w:tc>
        <w:tc>
          <w:tcPr>
            <w:tcW w:w="1134" w:type="dxa"/>
            <w:vAlign w:val="center"/>
          </w:tcPr>
          <w:p w14:paraId="6886EA97" w14:textId="6704EF20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17</w:t>
            </w:r>
          </w:p>
        </w:tc>
        <w:tc>
          <w:tcPr>
            <w:tcW w:w="1031" w:type="dxa"/>
            <w:vAlign w:val="center"/>
          </w:tcPr>
          <w:p w14:paraId="51E01553" w14:textId="683DC96B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69" w:type="dxa"/>
            <w:vAlign w:val="center"/>
          </w:tcPr>
          <w:p w14:paraId="46714643" w14:textId="23C24781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08" w:type="dxa"/>
            <w:vAlign w:val="center"/>
          </w:tcPr>
          <w:p w14:paraId="34E3B617" w14:textId="2FBAA5AA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44" w:type="dxa"/>
            <w:vAlign w:val="center"/>
          </w:tcPr>
          <w:p w14:paraId="7927BA6B" w14:textId="5929B747" w:rsidR="00727B97" w:rsidRPr="009C1403" w:rsidRDefault="00A27F24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727B97" w14:paraId="694A93EF" w14:textId="77777777" w:rsidTr="00727B97">
        <w:tc>
          <w:tcPr>
            <w:tcW w:w="3823" w:type="dxa"/>
          </w:tcPr>
          <w:p w14:paraId="34325406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Mėgėjų meno kolektyvų išvykos </w:t>
            </w:r>
          </w:p>
        </w:tc>
        <w:tc>
          <w:tcPr>
            <w:tcW w:w="1134" w:type="dxa"/>
          </w:tcPr>
          <w:p w14:paraId="7E4C6508" w14:textId="43568880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 w:rsidRPr="006B5703">
              <w:rPr>
                <w:color w:val="000000" w:themeColor="text1"/>
              </w:rPr>
              <w:t>10</w:t>
            </w:r>
          </w:p>
        </w:tc>
        <w:tc>
          <w:tcPr>
            <w:tcW w:w="1031" w:type="dxa"/>
            <w:vAlign w:val="center"/>
          </w:tcPr>
          <w:p w14:paraId="171FEA28" w14:textId="2564FDAB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69" w:type="dxa"/>
          </w:tcPr>
          <w:p w14:paraId="0427C5E0" w14:textId="6F3DEF6F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108" w:type="dxa"/>
          </w:tcPr>
          <w:p w14:paraId="466D747F" w14:textId="267234B7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44" w:type="dxa"/>
          </w:tcPr>
          <w:p w14:paraId="09CE4093" w14:textId="32A60931" w:rsidR="00727B97" w:rsidRPr="009C1403" w:rsidRDefault="00434346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727B97" w14:paraId="7EA6F715" w14:textId="77777777" w:rsidTr="00727B97">
        <w:tc>
          <w:tcPr>
            <w:tcW w:w="3823" w:type="dxa"/>
          </w:tcPr>
          <w:p w14:paraId="6D1A35A0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Tautodailės parodos </w:t>
            </w:r>
          </w:p>
        </w:tc>
        <w:tc>
          <w:tcPr>
            <w:tcW w:w="1134" w:type="dxa"/>
          </w:tcPr>
          <w:p w14:paraId="73F3938A" w14:textId="69BF6339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1031" w:type="dxa"/>
            <w:vAlign w:val="center"/>
          </w:tcPr>
          <w:p w14:paraId="05E938D5" w14:textId="2E643CE6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10</w:t>
            </w:r>
          </w:p>
        </w:tc>
        <w:tc>
          <w:tcPr>
            <w:tcW w:w="1069" w:type="dxa"/>
          </w:tcPr>
          <w:p w14:paraId="738E170E" w14:textId="361771C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7</w:t>
            </w:r>
          </w:p>
        </w:tc>
        <w:tc>
          <w:tcPr>
            <w:tcW w:w="1108" w:type="dxa"/>
          </w:tcPr>
          <w:p w14:paraId="5679683C" w14:textId="065D0EAD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1044" w:type="dxa"/>
          </w:tcPr>
          <w:p w14:paraId="21883A5B" w14:textId="1CA60F49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27B97" w14:paraId="358E324C" w14:textId="77777777" w:rsidTr="00727B97">
        <w:tc>
          <w:tcPr>
            <w:tcW w:w="3823" w:type="dxa"/>
          </w:tcPr>
          <w:p w14:paraId="6661D271" w14:textId="77777777" w:rsidR="00727B97" w:rsidRPr="009C1403" w:rsidRDefault="00727B97" w:rsidP="00727B97">
            <w:pPr>
              <w:ind w:left="720" w:hanging="694"/>
            </w:pPr>
            <w:r w:rsidRPr="009C1403">
              <w:t>Edukaciniai renginiai</w:t>
            </w:r>
            <w:r>
              <w:t>, paskaitos</w:t>
            </w:r>
            <w:r w:rsidRPr="009C1403">
              <w:t xml:space="preserve"> </w:t>
            </w:r>
          </w:p>
        </w:tc>
        <w:tc>
          <w:tcPr>
            <w:tcW w:w="1134" w:type="dxa"/>
          </w:tcPr>
          <w:p w14:paraId="7C85A8E3" w14:textId="6E4E81E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29</w:t>
            </w:r>
          </w:p>
        </w:tc>
        <w:tc>
          <w:tcPr>
            <w:tcW w:w="1031" w:type="dxa"/>
            <w:vAlign w:val="center"/>
          </w:tcPr>
          <w:p w14:paraId="34857EA5" w14:textId="56810ABC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20</w:t>
            </w:r>
          </w:p>
        </w:tc>
        <w:tc>
          <w:tcPr>
            <w:tcW w:w="1069" w:type="dxa"/>
          </w:tcPr>
          <w:p w14:paraId="78DE949D" w14:textId="3C74D442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36</w:t>
            </w:r>
          </w:p>
        </w:tc>
        <w:tc>
          <w:tcPr>
            <w:tcW w:w="1108" w:type="dxa"/>
          </w:tcPr>
          <w:p w14:paraId="5071F25E" w14:textId="3B08AD2F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21</w:t>
            </w:r>
          </w:p>
        </w:tc>
        <w:tc>
          <w:tcPr>
            <w:tcW w:w="1044" w:type="dxa"/>
          </w:tcPr>
          <w:p w14:paraId="51D335F5" w14:textId="0FA3C7BB" w:rsidR="00727B97" w:rsidRPr="009C1403" w:rsidRDefault="00A27F24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727B97" w14:paraId="016B1543" w14:textId="77777777" w:rsidTr="00727B97">
        <w:tc>
          <w:tcPr>
            <w:tcW w:w="3823" w:type="dxa"/>
          </w:tcPr>
          <w:p w14:paraId="2B2C68CC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Kino filmai </w:t>
            </w:r>
          </w:p>
        </w:tc>
        <w:tc>
          <w:tcPr>
            <w:tcW w:w="1134" w:type="dxa"/>
          </w:tcPr>
          <w:p w14:paraId="3D508A86" w14:textId="54DA9951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031" w:type="dxa"/>
            <w:vAlign w:val="center"/>
          </w:tcPr>
          <w:p w14:paraId="578D69EF" w14:textId="2F85BD91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19</w:t>
            </w:r>
          </w:p>
        </w:tc>
        <w:tc>
          <w:tcPr>
            <w:tcW w:w="1069" w:type="dxa"/>
          </w:tcPr>
          <w:p w14:paraId="09EC8F04" w14:textId="68FFB035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32</w:t>
            </w:r>
          </w:p>
        </w:tc>
        <w:tc>
          <w:tcPr>
            <w:tcW w:w="1108" w:type="dxa"/>
          </w:tcPr>
          <w:p w14:paraId="4B264A1E" w14:textId="56E8AF9A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 xml:space="preserve">15 </w:t>
            </w:r>
          </w:p>
        </w:tc>
        <w:tc>
          <w:tcPr>
            <w:tcW w:w="1044" w:type="dxa"/>
          </w:tcPr>
          <w:p w14:paraId="61BD361F" w14:textId="06C6ACBD" w:rsidR="00727B97" w:rsidRPr="009C1403" w:rsidRDefault="009E6F58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727B97" w14:paraId="560C3694" w14:textId="77777777" w:rsidTr="00727B97">
        <w:tc>
          <w:tcPr>
            <w:tcW w:w="3823" w:type="dxa"/>
          </w:tcPr>
          <w:p w14:paraId="041B4F76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Pramoginės muzikos koncertai </w:t>
            </w:r>
          </w:p>
        </w:tc>
        <w:tc>
          <w:tcPr>
            <w:tcW w:w="1134" w:type="dxa"/>
          </w:tcPr>
          <w:p w14:paraId="6A10A9E8" w14:textId="613891F7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14</w:t>
            </w:r>
          </w:p>
        </w:tc>
        <w:tc>
          <w:tcPr>
            <w:tcW w:w="1031" w:type="dxa"/>
            <w:vAlign w:val="center"/>
          </w:tcPr>
          <w:p w14:paraId="2F719A44" w14:textId="38C63366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1069" w:type="dxa"/>
          </w:tcPr>
          <w:p w14:paraId="0A7F74EB" w14:textId="3417BEFE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4</w:t>
            </w:r>
          </w:p>
        </w:tc>
        <w:tc>
          <w:tcPr>
            <w:tcW w:w="1108" w:type="dxa"/>
          </w:tcPr>
          <w:p w14:paraId="7D04CFAD" w14:textId="37A58462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7</w:t>
            </w:r>
          </w:p>
        </w:tc>
        <w:tc>
          <w:tcPr>
            <w:tcW w:w="1044" w:type="dxa"/>
          </w:tcPr>
          <w:p w14:paraId="26C4041D" w14:textId="6C723E93" w:rsidR="00727B97" w:rsidRPr="009C1403" w:rsidRDefault="00A27F24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727B97" w14:paraId="632E4230" w14:textId="77777777" w:rsidTr="00727B97">
        <w:tc>
          <w:tcPr>
            <w:tcW w:w="3823" w:type="dxa"/>
          </w:tcPr>
          <w:p w14:paraId="2D96B3FE" w14:textId="77777777" w:rsidR="00727B97" w:rsidRPr="009C1403" w:rsidRDefault="00727B97" w:rsidP="00727B97">
            <w:pPr>
              <w:ind w:left="720" w:hanging="694"/>
            </w:pPr>
            <w:r w:rsidRPr="009C1403">
              <w:t xml:space="preserve">Kiti renginiai </w:t>
            </w:r>
          </w:p>
        </w:tc>
        <w:tc>
          <w:tcPr>
            <w:tcW w:w="1134" w:type="dxa"/>
          </w:tcPr>
          <w:p w14:paraId="3D122FBA" w14:textId="52448CE4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75</w:t>
            </w:r>
          </w:p>
        </w:tc>
        <w:tc>
          <w:tcPr>
            <w:tcW w:w="1031" w:type="dxa"/>
            <w:vAlign w:val="center"/>
          </w:tcPr>
          <w:p w14:paraId="6313EFD7" w14:textId="26AEB416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74</w:t>
            </w:r>
          </w:p>
        </w:tc>
        <w:tc>
          <w:tcPr>
            <w:tcW w:w="1069" w:type="dxa"/>
          </w:tcPr>
          <w:p w14:paraId="7DEA2B43" w14:textId="0E06D2AB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68</w:t>
            </w:r>
          </w:p>
        </w:tc>
        <w:tc>
          <w:tcPr>
            <w:tcW w:w="1108" w:type="dxa"/>
          </w:tcPr>
          <w:p w14:paraId="6639A19F" w14:textId="63D46A7B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61</w:t>
            </w:r>
          </w:p>
        </w:tc>
        <w:tc>
          <w:tcPr>
            <w:tcW w:w="1044" w:type="dxa"/>
          </w:tcPr>
          <w:p w14:paraId="0983E427" w14:textId="4C3BE52A" w:rsidR="00727B97" w:rsidRPr="009C1403" w:rsidRDefault="009E6F58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</w:tr>
      <w:tr w:rsidR="00727B97" w14:paraId="32629B4B" w14:textId="77777777" w:rsidTr="00727B97">
        <w:tc>
          <w:tcPr>
            <w:tcW w:w="3823" w:type="dxa"/>
          </w:tcPr>
          <w:p w14:paraId="00AE091A" w14:textId="77777777" w:rsidR="00727B97" w:rsidRPr="009C1403" w:rsidRDefault="00727B97" w:rsidP="00727B97">
            <w:pPr>
              <w:ind w:left="720" w:hanging="694"/>
            </w:pPr>
            <w:r>
              <w:t>Ekskursijos</w:t>
            </w:r>
          </w:p>
        </w:tc>
        <w:tc>
          <w:tcPr>
            <w:tcW w:w="1134" w:type="dxa"/>
          </w:tcPr>
          <w:p w14:paraId="772C34BC" w14:textId="2ADDF0B4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031" w:type="dxa"/>
            <w:vAlign w:val="center"/>
          </w:tcPr>
          <w:p w14:paraId="7E8065F6" w14:textId="173F7647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15</w:t>
            </w:r>
          </w:p>
        </w:tc>
        <w:tc>
          <w:tcPr>
            <w:tcW w:w="1069" w:type="dxa"/>
          </w:tcPr>
          <w:p w14:paraId="33C7921A" w14:textId="36CCAD08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13</w:t>
            </w:r>
          </w:p>
        </w:tc>
        <w:tc>
          <w:tcPr>
            <w:tcW w:w="1108" w:type="dxa"/>
          </w:tcPr>
          <w:p w14:paraId="5BE45234" w14:textId="6705EA71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18</w:t>
            </w:r>
          </w:p>
        </w:tc>
        <w:tc>
          <w:tcPr>
            <w:tcW w:w="1044" w:type="dxa"/>
          </w:tcPr>
          <w:p w14:paraId="2F9FDFDF" w14:textId="348CC66C" w:rsidR="00727B97" w:rsidRPr="009C1403" w:rsidRDefault="009E6F58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727B97" w14:paraId="4819E861" w14:textId="77777777" w:rsidTr="00727B97">
        <w:tc>
          <w:tcPr>
            <w:tcW w:w="3823" w:type="dxa"/>
          </w:tcPr>
          <w:p w14:paraId="65B7403B" w14:textId="77777777" w:rsidR="00727B97" w:rsidRPr="009C1403" w:rsidRDefault="00727B97" w:rsidP="00727B97">
            <w:pPr>
              <w:ind w:left="720" w:hanging="694"/>
            </w:pPr>
            <w:r>
              <w:t>Nuotoliniai renginiai</w:t>
            </w:r>
          </w:p>
        </w:tc>
        <w:tc>
          <w:tcPr>
            <w:tcW w:w="1134" w:type="dxa"/>
          </w:tcPr>
          <w:p w14:paraId="4B3F81ED" w14:textId="7259B6BC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–</w:t>
            </w:r>
          </w:p>
        </w:tc>
        <w:tc>
          <w:tcPr>
            <w:tcW w:w="1031" w:type="dxa"/>
            <w:vAlign w:val="center"/>
          </w:tcPr>
          <w:p w14:paraId="27575C51" w14:textId="109B10A7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–</w:t>
            </w:r>
          </w:p>
        </w:tc>
        <w:tc>
          <w:tcPr>
            <w:tcW w:w="1069" w:type="dxa"/>
          </w:tcPr>
          <w:p w14:paraId="6BDDA42E" w14:textId="3BA6747B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–</w:t>
            </w:r>
          </w:p>
        </w:tc>
        <w:tc>
          <w:tcPr>
            <w:tcW w:w="1108" w:type="dxa"/>
          </w:tcPr>
          <w:p w14:paraId="46E46DEF" w14:textId="390BB382" w:rsidR="00727B97" w:rsidRPr="009C1403" w:rsidRDefault="00727B97" w:rsidP="00727B97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044" w:type="dxa"/>
          </w:tcPr>
          <w:p w14:paraId="42280CD9" w14:textId="7120DF66" w:rsidR="00727B97" w:rsidRPr="009C1403" w:rsidRDefault="00A27F24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727B97" w14:paraId="646E893F" w14:textId="77777777" w:rsidTr="00727B97">
        <w:tc>
          <w:tcPr>
            <w:tcW w:w="3823" w:type="dxa"/>
          </w:tcPr>
          <w:p w14:paraId="24F4B0EC" w14:textId="4F2E53C4" w:rsidR="00727B97" w:rsidRPr="00DD51E7" w:rsidRDefault="00727B97" w:rsidP="00727B97">
            <w:pPr>
              <w:ind w:left="720" w:hanging="694"/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DD51E7">
              <w:rPr>
                <w:b/>
              </w:rPr>
              <w:t>iso</w:t>
            </w:r>
          </w:p>
        </w:tc>
        <w:tc>
          <w:tcPr>
            <w:tcW w:w="1134" w:type="dxa"/>
          </w:tcPr>
          <w:p w14:paraId="5F64DDF6" w14:textId="76C44254" w:rsidR="00727B97" w:rsidRDefault="00727B97" w:rsidP="00727B97">
            <w:pPr>
              <w:jc w:val="center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218</w:t>
            </w:r>
            <w:r>
              <w:fldChar w:fldCharType="end"/>
            </w:r>
          </w:p>
        </w:tc>
        <w:tc>
          <w:tcPr>
            <w:tcW w:w="1031" w:type="dxa"/>
            <w:vAlign w:val="center"/>
          </w:tcPr>
          <w:p w14:paraId="2CB5647A" w14:textId="27DA8FD7" w:rsidR="00727B97" w:rsidRDefault="00727B97" w:rsidP="00727B97">
            <w:pPr>
              <w:jc w:val="center"/>
              <w:rPr>
                <w:color w:val="000000" w:themeColor="text1"/>
              </w:rPr>
            </w:pPr>
            <w:r>
              <w:t>229</w:t>
            </w:r>
          </w:p>
        </w:tc>
        <w:tc>
          <w:tcPr>
            <w:tcW w:w="1069" w:type="dxa"/>
          </w:tcPr>
          <w:p w14:paraId="123F1312" w14:textId="7BCF615B" w:rsidR="00727B97" w:rsidRDefault="00727B97" w:rsidP="00727B97">
            <w:pPr>
              <w:jc w:val="center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222</w:t>
            </w:r>
            <w:r>
              <w:fldChar w:fldCharType="end"/>
            </w:r>
          </w:p>
        </w:tc>
        <w:tc>
          <w:tcPr>
            <w:tcW w:w="1108" w:type="dxa"/>
          </w:tcPr>
          <w:p w14:paraId="57E52B47" w14:textId="10F25699" w:rsidR="00727B97" w:rsidRDefault="00727B97" w:rsidP="00727B97">
            <w:pPr>
              <w:jc w:val="center"/>
              <w:rPr>
                <w:color w:val="000000" w:themeColor="text1"/>
              </w:rPr>
            </w:pPr>
            <w:r>
              <w:t>179</w:t>
            </w:r>
          </w:p>
        </w:tc>
        <w:tc>
          <w:tcPr>
            <w:tcW w:w="1044" w:type="dxa"/>
          </w:tcPr>
          <w:p w14:paraId="5A3425D9" w14:textId="7A50C723" w:rsidR="00727B97" w:rsidRDefault="00EC154D" w:rsidP="00727B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217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F94120C" w14:textId="77777777" w:rsidR="00116E47" w:rsidRDefault="00116E47" w:rsidP="00045B7E">
      <w:pPr>
        <w:ind w:firstLine="567"/>
        <w:jc w:val="both"/>
      </w:pPr>
    </w:p>
    <w:p w14:paraId="29E7F134" w14:textId="70F073CF" w:rsidR="00762BE6" w:rsidRDefault="008A07E8" w:rsidP="004F7D43">
      <w:pPr>
        <w:autoSpaceDE w:val="0"/>
        <w:autoSpaceDN w:val="0"/>
        <w:adjustRightInd w:val="0"/>
        <w:ind w:firstLine="1296"/>
        <w:jc w:val="both"/>
      </w:pPr>
      <w:r>
        <w:rPr>
          <w:u w:val="single"/>
        </w:rPr>
        <w:t xml:space="preserve"> </w:t>
      </w:r>
      <w:r w:rsidR="000B358E">
        <w:rPr>
          <w:u w:val="single"/>
        </w:rPr>
        <w:t>2.</w:t>
      </w:r>
      <w:r w:rsidR="00C4618A">
        <w:rPr>
          <w:u w:val="single"/>
        </w:rPr>
        <w:t>4</w:t>
      </w:r>
      <w:r w:rsidR="000B358E">
        <w:rPr>
          <w:u w:val="single"/>
        </w:rPr>
        <w:t xml:space="preserve">. </w:t>
      </w:r>
      <w:r w:rsidR="00F93ED4" w:rsidRPr="000B358E">
        <w:rPr>
          <w:u w:val="single"/>
        </w:rPr>
        <w:t>Vidaus ir išorės problemos ir siūlomi problemų sprendimo būdai</w:t>
      </w:r>
      <w:r w:rsidR="00762BE6">
        <w:rPr>
          <w:u w:val="single"/>
        </w:rPr>
        <w:t>.</w:t>
      </w:r>
      <w:r w:rsidR="000B358E" w:rsidRPr="007B3BE8">
        <w:t xml:space="preserve"> </w:t>
      </w:r>
    </w:p>
    <w:p w14:paraId="44366F89" w14:textId="2EE28EAB" w:rsidR="000960D0" w:rsidRPr="00C52606" w:rsidRDefault="000960D0" w:rsidP="000960D0">
      <w:pPr>
        <w:autoSpaceDE w:val="0"/>
        <w:autoSpaceDN w:val="0"/>
        <w:adjustRightInd w:val="0"/>
        <w:ind w:firstLine="1296"/>
        <w:jc w:val="both"/>
      </w:pPr>
      <w:r w:rsidRPr="00C52606">
        <w:t xml:space="preserve">Veiklos organizavimas koronaviruso (COVID-19) pandemijos metu pareikalavo papildomų finansinių išlaidų ir žmogiškųjų resursų </w:t>
      </w:r>
      <w:r w:rsidR="00D612B6">
        <w:t>–</w:t>
      </w:r>
      <w:r w:rsidRPr="00C52606">
        <w:t xml:space="preserve"> dalyvių registravimo į veiklas organizavimas, srautų</w:t>
      </w:r>
      <w:r>
        <w:t xml:space="preserve"> </w:t>
      </w:r>
      <w:r w:rsidRPr="00C52606">
        <w:t>koordinavimas, koncertin</w:t>
      </w:r>
      <w:r w:rsidR="001F5AE8">
        <w:t>ių</w:t>
      </w:r>
      <w:r w:rsidRPr="00C52606">
        <w:t xml:space="preserve"> zon</w:t>
      </w:r>
      <w:r w:rsidR="001F5AE8">
        <w:t>ų</w:t>
      </w:r>
      <w:r w:rsidRPr="00C52606">
        <w:t xml:space="preserve"> su sėdimomis vietomis įrengimas, dezinfekcijos užtikrinimas. Taip pat buvo ribojamas norinčiųjų dalyvauti veiklose žmonių skaičius, tam kad būtų laikomasi LR Vyriausybės reikalavimų. </w:t>
      </w:r>
    </w:p>
    <w:p w14:paraId="3312FA5D" w14:textId="3060BE7E" w:rsidR="00762BE6" w:rsidRPr="001F5AE8" w:rsidRDefault="00762BE6" w:rsidP="00762BE6">
      <w:pPr>
        <w:autoSpaceDE w:val="0"/>
        <w:autoSpaceDN w:val="0"/>
        <w:adjustRightInd w:val="0"/>
        <w:ind w:firstLine="1296"/>
        <w:jc w:val="both"/>
      </w:pPr>
      <w:r>
        <w:t>Centras atlieka 8 iš 10 Kultūros centrų įstatyme nurodytų funkcijų</w:t>
      </w:r>
      <w:r w:rsidR="001F5AE8">
        <w:t>,</w:t>
      </w:r>
      <w:r>
        <w:t xml:space="preserve"> savo veikloje remiasi etnine (tradicine) kultūra, regiono bei Juodkrantės savitumu ir išskirtinumu. </w:t>
      </w:r>
      <w:r w:rsidRPr="001F5AE8">
        <w:t>Didėja papildom</w:t>
      </w:r>
      <w:r w:rsidR="001F5AE8">
        <w:t>o</w:t>
      </w:r>
      <w:r w:rsidRPr="001F5AE8">
        <w:t xml:space="preserve"> darbo krūviai įgyvendinant kultūros ir meno projektus</w:t>
      </w:r>
      <w:r w:rsidR="001F5AE8">
        <w:t>,</w:t>
      </w:r>
      <w:r w:rsidRPr="001F5AE8">
        <w:t xml:space="preserve"> t</w:t>
      </w:r>
      <w:r w:rsidR="001F5AE8">
        <w:t>odėl</w:t>
      </w:r>
      <w:r w:rsidRPr="001F5AE8">
        <w:t xml:space="preserve"> reikalingas specialistas, kuris vykdytų mokslinę-kultūrinę veiklą, dirbtų su muziejinėmis vertybėmis istorinėje ekspozicijoje, rašytų projektus, kurtų edukacines programas, dirbtų su Kultūros paso paslauga. </w:t>
      </w:r>
    </w:p>
    <w:p w14:paraId="03F5D3EB" w14:textId="29DE2851" w:rsidR="007E39D6" w:rsidRPr="00985C92" w:rsidRDefault="002E345B" w:rsidP="00985C92">
      <w:pPr>
        <w:autoSpaceDE w:val="0"/>
        <w:autoSpaceDN w:val="0"/>
        <w:adjustRightInd w:val="0"/>
        <w:ind w:firstLine="1296"/>
        <w:jc w:val="both"/>
      </w:pPr>
      <w:r w:rsidRPr="00985C92">
        <w:t>Pastatas</w:t>
      </w:r>
      <w:r w:rsidR="004A3253" w:rsidRPr="00985C92">
        <w:t>, esantis L. Rėzos g. 8 B, yra saugomas</w:t>
      </w:r>
      <w:r w:rsidRPr="00985C92">
        <w:t xml:space="preserve"> </w:t>
      </w:r>
      <w:r w:rsidR="004A3253" w:rsidRPr="00985C92">
        <w:t xml:space="preserve">valstybės, </w:t>
      </w:r>
      <w:r w:rsidRPr="00985C92">
        <w:t>kasmet sulaukia išskirtinio dėmesio iš kurorto lankytojų, reprezentuoja regiono kultūrą ir architektūrą, todėl reikalauja reguliarios priežiūros ir atidumo detalėms</w:t>
      </w:r>
      <w:r w:rsidR="004A3253" w:rsidRPr="00985C92">
        <w:t xml:space="preserve">. Atlikus statinio apžiūrą ir pastato techninės būklės </w:t>
      </w:r>
      <w:r w:rsidR="004A3253" w:rsidRPr="00985C92">
        <w:lastRenderedPageBreak/>
        <w:t xml:space="preserve">vertinimą buvo konstatuota, kad </w:t>
      </w:r>
      <w:r w:rsidR="000960D0" w:rsidRPr="00985C92">
        <w:t>fasado prieangis</w:t>
      </w:r>
      <w:r w:rsidR="000960D0">
        <w:t xml:space="preserve"> </w:t>
      </w:r>
      <w:r w:rsidR="000960D0" w:rsidRPr="00985C92">
        <w:t>yra</w:t>
      </w:r>
      <w:r w:rsidR="000960D0">
        <w:t xml:space="preserve"> </w:t>
      </w:r>
      <w:r w:rsidR="00985C92">
        <w:t>l</w:t>
      </w:r>
      <w:r w:rsidR="007E39D6" w:rsidRPr="00985C92">
        <w:t>abai blogos būklės, konstrukcijos skubiai</w:t>
      </w:r>
      <w:r w:rsidR="00985C92" w:rsidRPr="00985C92">
        <w:t xml:space="preserve"> </w:t>
      </w:r>
      <w:r w:rsidR="007E39D6" w:rsidRPr="00985C92">
        <w:t>netvarkant, jis gali tapti pavojingas naudoti. Nunykęs dažų sluoksnis nuo frontonų medinių elementų,</w:t>
      </w:r>
      <w:r w:rsidR="00985C92">
        <w:t xml:space="preserve"> </w:t>
      </w:r>
      <w:r w:rsidR="007E39D6" w:rsidRPr="00985C92">
        <w:t>yra puvinio požymių.</w:t>
      </w:r>
      <w:r w:rsidR="00985C92" w:rsidRPr="00985C92">
        <w:t xml:space="preserve"> </w:t>
      </w:r>
      <w:r w:rsidR="007E39D6" w:rsidRPr="00985C92">
        <w:t xml:space="preserve">Apžiūrėjus ir įvertinus pastatą nustatyta, </w:t>
      </w:r>
      <w:r w:rsidR="00985C92">
        <w:t xml:space="preserve">kad </w:t>
      </w:r>
      <w:r w:rsidR="007E39D6" w:rsidRPr="00985C92">
        <w:t>pagrindinė pastato problema yra dėl netinkamo</w:t>
      </w:r>
      <w:r w:rsidR="00985C92" w:rsidRPr="00985C92">
        <w:t xml:space="preserve"> </w:t>
      </w:r>
      <w:r w:rsidR="007E39D6" w:rsidRPr="00985C92">
        <w:t>įrengimo supuvusios blogos būklės prieangio konstrukcijos. Kadangi tai darbuotojų ir lankytojų</w:t>
      </w:r>
      <w:r w:rsidR="00985C92" w:rsidRPr="00985C92">
        <w:t xml:space="preserve"> </w:t>
      </w:r>
      <w:r w:rsidR="007E39D6" w:rsidRPr="00985C92">
        <w:t>nuolat naudojamas įėjimas į pastatą, šios problemos sprendimas laikytinas prioritetiniu darbu. Bendra</w:t>
      </w:r>
      <w:r w:rsidR="00985C92" w:rsidRPr="00985C92">
        <w:t xml:space="preserve"> </w:t>
      </w:r>
      <w:r w:rsidR="007E39D6" w:rsidRPr="00985C92">
        <w:t>pastato būklė yra gera arba vidutinė, kai kuriems elementams reikia smulkių pataisymų, perdažymo</w:t>
      </w:r>
      <w:r w:rsidR="00985C92" w:rsidRPr="00985C92">
        <w:t xml:space="preserve"> </w:t>
      </w:r>
      <w:r w:rsidR="007E39D6" w:rsidRPr="00985C92">
        <w:t>ir kitų periodinės priežiūros darbų</w:t>
      </w:r>
      <w:r w:rsidR="00985C92">
        <w:t xml:space="preserve">, </w:t>
      </w:r>
      <w:r w:rsidR="00985C92" w:rsidRPr="00960594">
        <w:t>prie pagrindinio įėjimo grindinio akmenys nestabilūs, pavojinga vaikščioti</w:t>
      </w:r>
      <w:r w:rsidR="00985C92">
        <w:t>.</w:t>
      </w:r>
    </w:p>
    <w:p w14:paraId="04A981C3" w14:textId="0A78B314" w:rsidR="00B67E63" w:rsidRPr="009F0D16" w:rsidRDefault="00AF4AAB" w:rsidP="00B67E63">
      <w:pPr>
        <w:ind w:firstLine="360"/>
        <w:jc w:val="both"/>
      </w:pPr>
      <w:r>
        <w:tab/>
      </w:r>
      <w:r w:rsidR="000B358E" w:rsidRPr="009F0D16">
        <w:t>P</w:t>
      </w:r>
      <w:r w:rsidR="00F74C67" w:rsidRPr="009F0D16">
        <w:t xml:space="preserve">rie koncertų salės </w:t>
      </w:r>
      <w:r w:rsidR="000B358E" w:rsidRPr="009F0D16">
        <w:t xml:space="preserve">ir lauko estrados </w:t>
      </w:r>
      <w:r w:rsidR="00985C92">
        <w:t xml:space="preserve">(L. Rėzos g. 54) </w:t>
      </w:r>
      <w:r w:rsidR="00F74C67" w:rsidRPr="009F0D16">
        <w:t>vasar</w:t>
      </w:r>
      <w:r w:rsidR="008B7499">
        <w:t xml:space="preserve">ą </w:t>
      </w:r>
      <w:r w:rsidR="00F74C67" w:rsidRPr="009F0D16">
        <w:t xml:space="preserve">sudėtingas privažiavimas, </w:t>
      </w:r>
      <w:r w:rsidR="008A07E8" w:rsidRPr="009F0D16">
        <w:t>susiduriama su automobilių statymo</w:t>
      </w:r>
      <w:r w:rsidR="00F74C67" w:rsidRPr="009F0D16">
        <w:t xml:space="preserve"> problema.</w:t>
      </w:r>
      <w:r w:rsidR="00C547BD">
        <w:t xml:space="preserve"> </w:t>
      </w:r>
      <w:r w:rsidR="00F729FB">
        <w:t>Reikėtų remontuoti lauko estrados stogą</w:t>
      </w:r>
      <w:r w:rsidR="00127ABD">
        <w:t xml:space="preserve"> </w:t>
      </w:r>
      <w:r w:rsidR="00D612B6">
        <w:t>–</w:t>
      </w:r>
      <w:r w:rsidR="00036BCC" w:rsidRPr="00985C92">
        <w:t xml:space="preserve"> danga vietomis atsilupusi, bėga vanduo</w:t>
      </w:r>
      <w:r w:rsidR="00985C92" w:rsidRPr="00985C92">
        <w:t xml:space="preserve">, </w:t>
      </w:r>
      <w:r w:rsidR="00127ABD">
        <w:t xml:space="preserve">krentant stogo atplaišoms </w:t>
      </w:r>
      <w:r w:rsidR="00985C92" w:rsidRPr="00985C92">
        <w:t>kyla pavojus žiūrovams ir atlikėjams.</w:t>
      </w:r>
      <w:r w:rsidR="00036BCC">
        <w:rPr>
          <w:rFonts w:ascii="Arial" w:hAnsi="Arial" w:cs="Arial"/>
          <w:color w:val="222222"/>
          <w:sz w:val="23"/>
          <w:szCs w:val="23"/>
          <w:shd w:val="clear" w:color="auto" w:fill="FFFFFF"/>
        </w:rPr>
        <w:t> </w:t>
      </w:r>
    </w:p>
    <w:p w14:paraId="555BF064" w14:textId="3F139592" w:rsidR="00996492" w:rsidRDefault="00316F89" w:rsidP="00316F89">
      <w:pPr>
        <w:tabs>
          <w:tab w:val="left" w:pos="0"/>
        </w:tabs>
        <w:ind w:firstLine="709"/>
        <w:jc w:val="both"/>
        <w:rPr>
          <w:szCs w:val="20"/>
        </w:rPr>
      </w:pPr>
      <w:r>
        <w:rPr>
          <w:bCs/>
          <w:szCs w:val="20"/>
        </w:rPr>
        <w:tab/>
      </w:r>
    </w:p>
    <w:p w14:paraId="43221DC5" w14:textId="77777777" w:rsidR="00F93ED4" w:rsidRPr="005F0D90" w:rsidRDefault="005F0D90" w:rsidP="0087260C">
      <w:pPr>
        <w:ind w:firstLine="1296"/>
        <w:rPr>
          <w:b/>
        </w:rPr>
      </w:pPr>
      <w:r>
        <w:rPr>
          <w:b/>
        </w:rPr>
        <w:t xml:space="preserve">3. </w:t>
      </w:r>
      <w:r w:rsidR="003964BF" w:rsidRPr="005F0D90">
        <w:rPr>
          <w:b/>
        </w:rPr>
        <w:t>Liudviko Rėzos kultūros centro</w:t>
      </w:r>
      <w:r w:rsidR="00F93ED4" w:rsidRPr="005F0D90">
        <w:rPr>
          <w:b/>
        </w:rPr>
        <w:t xml:space="preserve"> finansinės veiklos ataskaita:</w:t>
      </w:r>
    </w:p>
    <w:p w14:paraId="0EDCE88F" w14:textId="77777777" w:rsidR="00A17BE1" w:rsidRDefault="00A17BE1" w:rsidP="00FD71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6"/>
        <w:gridCol w:w="1276"/>
        <w:gridCol w:w="2127"/>
      </w:tblGrid>
      <w:tr w:rsidR="00995F2C" w:rsidRPr="00A17BE1" w14:paraId="306BBAB6" w14:textId="77777777" w:rsidTr="00995F2C">
        <w:tc>
          <w:tcPr>
            <w:tcW w:w="2694" w:type="dxa"/>
            <w:vMerge w:val="restart"/>
            <w:vAlign w:val="center"/>
          </w:tcPr>
          <w:p w14:paraId="6300A24F" w14:textId="3833503C" w:rsidR="00995F2C" w:rsidRPr="00390A81" w:rsidRDefault="00995F2C" w:rsidP="00995F2C">
            <w:pPr>
              <w:jc w:val="center"/>
              <w:rPr>
                <w:b/>
                <w:i/>
              </w:rPr>
            </w:pPr>
            <w:bookmarkStart w:id="2" w:name="_Hlk93483625"/>
            <w:r w:rsidRPr="00390A81">
              <w:rPr>
                <w:b/>
                <w:i/>
              </w:rPr>
              <w:t>Lėšų pavadinimas</w:t>
            </w:r>
          </w:p>
        </w:tc>
        <w:tc>
          <w:tcPr>
            <w:tcW w:w="5103" w:type="dxa"/>
            <w:gridSpan w:val="4"/>
            <w:vAlign w:val="center"/>
          </w:tcPr>
          <w:p w14:paraId="2A5FA60A" w14:textId="77777777" w:rsidR="00995F2C" w:rsidRPr="00390A81" w:rsidRDefault="00995F2C" w:rsidP="00390A81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Lėšų dydis, tūkst. Eur</w:t>
            </w:r>
            <w:r>
              <w:rPr>
                <w:b/>
                <w:i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4A080319" w14:textId="77777777" w:rsidR="00995F2C" w:rsidRPr="00390A81" w:rsidRDefault="00995F2C" w:rsidP="00390A81">
            <w:pPr>
              <w:jc w:val="center"/>
              <w:rPr>
                <w:b/>
                <w:i/>
              </w:rPr>
            </w:pPr>
            <w:r w:rsidRPr="00390A81">
              <w:rPr>
                <w:b/>
                <w:i/>
              </w:rPr>
              <w:t>Panaudojimas</w:t>
            </w:r>
          </w:p>
        </w:tc>
      </w:tr>
      <w:tr w:rsidR="00995F2C" w:rsidRPr="00A17BE1" w14:paraId="08E0B4C5" w14:textId="77777777" w:rsidTr="0087260C">
        <w:trPr>
          <w:trHeight w:val="381"/>
        </w:trPr>
        <w:tc>
          <w:tcPr>
            <w:tcW w:w="2694" w:type="dxa"/>
            <w:vMerge/>
            <w:vAlign w:val="center"/>
          </w:tcPr>
          <w:p w14:paraId="2FE6AFC9" w14:textId="77777777" w:rsidR="00995F2C" w:rsidRPr="00390A81" w:rsidRDefault="00995F2C" w:rsidP="00390A81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3FF2796D" w14:textId="05FD1935" w:rsidR="00995F2C" w:rsidRPr="00390A81" w:rsidRDefault="00995F2C" w:rsidP="00F440BE">
            <w:pPr>
              <w:rPr>
                <w:b/>
                <w:i/>
              </w:rPr>
            </w:pPr>
            <w:r w:rsidRPr="00390A81">
              <w:rPr>
                <w:b/>
                <w:i/>
              </w:rPr>
              <w:t>201</w:t>
            </w:r>
            <w:r>
              <w:rPr>
                <w:b/>
                <w:i/>
              </w:rPr>
              <w:t>8</w:t>
            </w:r>
            <w:r w:rsidRPr="00390A81">
              <w:rPr>
                <w:b/>
                <w:i/>
              </w:rPr>
              <w:t xml:space="preserve"> m.</w:t>
            </w:r>
          </w:p>
        </w:tc>
        <w:tc>
          <w:tcPr>
            <w:tcW w:w="1276" w:type="dxa"/>
            <w:vAlign w:val="center"/>
          </w:tcPr>
          <w:p w14:paraId="54292868" w14:textId="3A16B69F" w:rsidR="00995F2C" w:rsidRPr="00390A81" w:rsidRDefault="00995F2C" w:rsidP="00F440BE">
            <w:pPr>
              <w:rPr>
                <w:b/>
                <w:i/>
              </w:rPr>
            </w:pPr>
            <w:r w:rsidRPr="00390A81">
              <w:rPr>
                <w:b/>
                <w:i/>
              </w:rPr>
              <w:t>201</w:t>
            </w:r>
            <w:r>
              <w:rPr>
                <w:b/>
                <w:i/>
              </w:rPr>
              <w:t>9</w:t>
            </w:r>
            <w:r w:rsidRPr="00390A81">
              <w:rPr>
                <w:b/>
                <w:i/>
              </w:rPr>
              <w:t xml:space="preserve"> m.</w:t>
            </w:r>
          </w:p>
        </w:tc>
        <w:tc>
          <w:tcPr>
            <w:tcW w:w="1276" w:type="dxa"/>
            <w:vAlign w:val="center"/>
          </w:tcPr>
          <w:p w14:paraId="4A000781" w14:textId="557BA938" w:rsidR="00995F2C" w:rsidRPr="00390A81" w:rsidRDefault="00995F2C" w:rsidP="00F440BE">
            <w:pPr>
              <w:rPr>
                <w:b/>
                <w:i/>
              </w:rPr>
            </w:pPr>
            <w:r>
              <w:rPr>
                <w:b/>
                <w:i/>
              </w:rPr>
              <w:t>2020 m.</w:t>
            </w:r>
          </w:p>
        </w:tc>
        <w:tc>
          <w:tcPr>
            <w:tcW w:w="1276" w:type="dxa"/>
          </w:tcPr>
          <w:p w14:paraId="7E2CC503" w14:textId="1CA4F3AD" w:rsidR="00995F2C" w:rsidRPr="00390A81" w:rsidRDefault="00995F2C" w:rsidP="00F440BE">
            <w:pPr>
              <w:rPr>
                <w:b/>
                <w:i/>
              </w:rPr>
            </w:pPr>
            <w:r>
              <w:rPr>
                <w:b/>
                <w:i/>
              </w:rPr>
              <w:t>2021 m.</w:t>
            </w:r>
          </w:p>
        </w:tc>
        <w:tc>
          <w:tcPr>
            <w:tcW w:w="2127" w:type="dxa"/>
            <w:vMerge/>
            <w:vAlign w:val="center"/>
          </w:tcPr>
          <w:p w14:paraId="168F0C8A" w14:textId="77777777" w:rsidR="00995F2C" w:rsidRPr="00390A81" w:rsidRDefault="00995F2C" w:rsidP="00390A81">
            <w:pPr>
              <w:jc w:val="center"/>
              <w:rPr>
                <w:b/>
                <w:i/>
              </w:rPr>
            </w:pPr>
          </w:p>
        </w:tc>
      </w:tr>
      <w:tr w:rsidR="00995F2C" w:rsidRPr="00A17BE1" w14:paraId="1FA92A47" w14:textId="77777777" w:rsidTr="00891B16">
        <w:tc>
          <w:tcPr>
            <w:tcW w:w="2694" w:type="dxa"/>
            <w:vMerge w:val="restart"/>
          </w:tcPr>
          <w:p w14:paraId="2F83AA9B" w14:textId="77777777" w:rsidR="00995F2C" w:rsidRPr="00A17BE1" w:rsidRDefault="00995F2C" w:rsidP="00995F2C">
            <w:r w:rsidRPr="00A17BE1">
              <w:t>Savivaldybės biudžeto lėšos</w:t>
            </w:r>
          </w:p>
        </w:tc>
        <w:tc>
          <w:tcPr>
            <w:tcW w:w="1275" w:type="dxa"/>
          </w:tcPr>
          <w:p w14:paraId="6934C942" w14:textId="3CFFC908" w:rsidR="00995F2C" w:rsidRPr="00A17BE1" w:rsidRDefault="00995F2C" w:rsidP="00995F2C">
            <w:pPr>
              <w:jc w:val="center"/>
            </w:pPr>
            <w:r>
              <w:t>96,9</w:t>
            </w:r>
          </w:p>
        </w:tc>
        <w:tc>
          <w:tcPr>
            <w:tcW w:w="1276" w:type="dxa"/>
            <w:vAlign w:val="center"/>
          </w:tcPr>
          <w:p w14:paraId="2919D7B9" w14:textId="396DB0BD" w:rsidR="00995F2C" w:rsidRPr="00A17BE1" w:rsidRDefault="00995F2C" w:rsidP="00995F2C">
            <w:pPr>
              <w:jc w:val="center"/>
            </w:pPr>
            <w:r>
              <w:t>140,6</w:t>
            </w:r>
          </w:p>
        </w:tc>
        <w:tc>
          <w:tcPr>
            <w:tcW w:w="1276" w:type="dxa"/>
            <w:vAlign w:val="center"/>
          </w:tcPr>
          <w:p w14:paraId="5F759984" w14:textId="773C1136" w:rsidR="00995F2C" w:rsidRDefault="00995F2C" w:rsidP="00995F2C">
            <w:pPr>
              <w:jc w:val="center"/>
            </w:pPr>
            <w:r>
              <w:t>156,7</w:t>
            </w:r>
          </w:p>
        </w:tc>
        <w:tc>
          <w:tcPr>
            <w:tcW w:w="1276" w:type="dxa"/>
          </w:tcPr>
          <w:p w14:paraId="3D8F3778" w14:textId="39FB9258" w:rsidR="00995F2C" w:rsidRDefault="00995F2C" w:rsidP="00995F2C">
            <w:pPr>
              <w:jc w:val="center"/>
            </w:pPr>
            <w:r>
              <w:t>156,2</w:t>
            </w:r>
          </w:p>
        </w:tc>
        <w:tc>
          <w:tcPr>
            <w:tcW w:w="2127" w:type="dxa"/>
          </w:tcPr>
          <w:p w14:paraId="3A4FBA41" w14:textId="77777777" w:rsidR="00995F2C" w:rsidRPr="00995F2C" w:rsidRDefault="00995F2C" w:rsidP="00995F2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995F2C" w:rsidRPr="00A17BE1" w14:paraId="2E47CE14" w14:textId="77777777" w:rsidTr="0087260C">
        <w:tc>
          <w:tcPr>
            <w:tcW w:w="2694" w:type="dxa"/>
            <w:vMerge/>
          </w:tcPr>
          <w:p w14:paraId="37C7B764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03D349C1" w14:textId="7DD6F9EE" w:rsidR="00995F2C" w:rsidRPr="00A17BE1" w:rsidRDefault="00995F2C" w:rsidP="00995F2C">
            <w:pPr>
              <w:jc w:val="center"/>
            </w:pPr>
            <w:r>
              <w:t>62,4</w:t>
            </w:r>
          </w:p>
        </w:tc>
        <w:tc>
          <w:tcPr>
            <w:tcW w:w="1276" w:type="dxa"/>
            <w:vAlign w:val="center"/>
          </w:tcPr>
          <w:p w14:paraId="5BC11D18" w14:textId="016671BA" w:rsidR="00995F2C" w:rsidRPr="001359B6" w:rsidRDefault="00995F2C" w:rsidP="00995F2C">
            <w:pPr>
              <w:jc w:val="center"/>
            </w:pPr>
            <w:r>
              <w:t>39,5</w:t>
            </w:r>
          </w:p>
        </w:tc>
        <w:tc>
          <w:tcPr>
            <w:tcW w:w="1276" w:type="dxa"/>
            <w:vAlign w:val="center"/>
          </w:tcPr>
          <w:p w14:paraId="1A861376" w14:textId="0596FF46" w:rsidR="00995F2C" w:rsidRPr="001359B6" w:rsidRDefault="00995F2C" w:rsidP="00995F2C">
            <w:pPr>
              <w:jc w:val="center"/>
            </w:pPr>
            <w:r>
              <w:t>37,1</w:t>
            </w:r>
          </w:p>
        </w:tc>
        <w:tc>
          <w:tcPr>
            <w:tcW w:w="1276" w:type="dxa"/>
            <w:vAlign w:val="center"/>
          </w:tcPr>
          <w:p w14:paraId="24A5655E" w14:textId="01F203F1" w:rsidR="00995F2C" w:rsidRPr="001359B6" w:rsidRDefault="00995F2C" w:rsidP="00995F2C">
            <w:pPr>
              <w:jc w:val="center"/>
            </w:pPr>
            <w:r>
              <w:t>50,8</w:t>
            </w:r>
          </w:p>
        </w:tc>
        <w:tc>
          <w:tcPr>
            <w:tcW w:w="2127" w:type="dxa"/>
          </w:tcPr>
          <w:p w14:paraId="782E9645" w14:textId="100FABBA" w:rsidR="00995F2C" w:rsidRPr="00995F2C" w:rsidRDefault="00995F2C" w:rsidP="00995F2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Įstaigos išlaikymui ir socialiniam draudimui</w:t>
            </w:r>
          </w:p>
        </w:tc>
      </w:tr>
      <w:tr w:rsidR="00995F2C" w:rsidRPr="00A17BE1" w14:paraId="5558DE9A" w14:textId="77777777" w:rsidTr="0087260C">
        <w:tc>
          <w:tcPr>
            <w:tcW w:w="2694" w:type="dxa"/>
            <w:vMerge/>
          </w:tcPr>
          <w:p w14:paraId="13B9963B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51C51B6A" w14:textId="29D4B430" w:rsidR="00995F2C" w:rsidRPr="00A17BE1" w:rsidRDefault="00995F2C" w:rsidP="00995F2C">
            <w:pPr>
              <w:jc w:val="center"/>
            </w:pPr>
            <w:r>
              <w:t>3,0</w:t>
            </w:r>
          </w:p>
        </w:tc>
        <w:tc>
          <w:tcPr>
            <w:tcW w:w="1276" w:type="dxa"/>
            <w:vAlign w:val="center"/>
          </w:tcPr>
          <w:p w14:paraId="11B9A460" w14:textId="133DDE23" w:rsidR="00995F2C" w:rsidRPr="00A17BE1" w:rsidRDefault="00995F2C" w:rsidP="00995F2C">
            <w:pPr>
              <w:jc w:val="center"/>
            </w:pPr>
            <w:r>
              <w:t>1,1</w:t>
            </w:r>
          </w:p>
        </w:tc>
        <w:tc>
          <w:tcPr>
            <w:tcW w:w="1276" w:type="dxa"/>
            <w:vAlign w:val="center"/>
          </w:tcPr>
          <w:p w14:paraId="19E3BBD0" w14:textId="0842DBD8" w:rsidR="00995F2C" w:rsidRPr="00A17BE1" w:rsidRDefault="00995F2C" w:rsidP="00995F2C">
            <w:pPr>
              <w:jc w:val="center"/>
            </w:pPr>
            <w:r>
              <w:t>2,0</w:t>
            </w:r>
          </w:p>
        </w:tc>
        <w:tc>
          <w:tcPr>
            <w:tcW w:w="1276" w:type="dxa"/>
            <w:vAlign w:val="center"/>
          </w:tcPr>
          <w:p w14:paraId="50A8D23C" w14:textId="66B3A78F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7796200F" w14:textId="77777777" w:rsidR="00995F2C" w:rsidRPr="00995F2C" w:rsidRDefault="00995F2C" w:rsidP="00995F2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Ilgalaikio turto įsigijimui</w:t>
            </w:r>
          </w:p>
        </w:tc>
      </w:tr>
      <w:tr w:rsidR="00995F2C" w:rsidRPr="00A17BE1" w14:paraId="39F85A56" w14:textId="77777777" w:rsidTr="0087260C">
        <w:trPr>
          <w:trHeight w:val="299"/>
        </w:trPr>
        <w:tc>
          <w:tcPr>
            <w:tcW w:w="2694" w:type="dxa"/>
            <w:vMerge/>
          </w:tcPr>
          <w:p w14:paraId="4D609D3A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0E7C8766" w14:textId="70CBE424" w:rsidR="00995F2C" w:rsidRPr="00A17BE1" w:rsidRDefault="00995F2C" w:rsidP="00995F2C">
            <w:pPr>
              <w:jc w:val="center"/>
            </w:pPr>
            <w:r>
              <w:t>55,3</w:t>
            </w:r>
          </w:p>
        </w:tc>
        <w:tc>
          <w:tcPr>
            <w:tcW w:w="1276" w:type="dxa"/>
            <w:vAlign w:val="center"/>
          </w:tcPr>
          <w:p w14:paraId="5A6318EA" w14:textId="5BB0590C" w:rsidR="00995F2C" w:rsidRPr="00A17BE1" w:rsidRDefault="00995F2C" w:rsidP="00995F2C">
            <w:pPr>
              <w:jc w:val="center"/>
            </w:pPr>
            <w:r>
              <w:t>47,5</w:t>
            </w:r>
          </w:p>
        </w:tc>
        <w:tc>
          <w:tcPr>
            <w:tcW w:w="1276" w:type="dxa"/>
            <w:vAlign w:val="center"/>
          </w:tcPr>
          <w:p w14:paraId="26BFA014" w14:textId="347D2AF2" w:rsidR="00995F2C" w:rsidRDefault="00995F2C" w:rsidP="00995F2C">
            <w:pPr>
              <w:jc w:val="center"/>
            </w:pPr>
            <w:r>
              <w:t>30,0</w:t>
            </w:r>
          </w:p>
        </w:tc>
        <w:tc>
          <w:tcPr>
            <w:tcW w:w="1276" w:type="dxa"/>
            <w:vAlign w:val="center"/>
          </w:tcPr>
          <w:p w14:paraId="206CD54B" w14:textId="3BA294C2" w:rsidR="00995F2C" w:rsidRDefault="00995F2C" w:rsidP="00995F2C">
            <w:pPr>
              <w:jc w:val="center"/>
            </w:pPr>
            <w:r>
              <w:t>20,0</w:t>
            </w:r>
          </w:p>
        </w:tc>
        <w:tc>
          <w:tcPr>
            <w:tcW w:w="2127" w:type="dxa"/>
          </w:tcPr>
          <w:p w14:paraId="0A3F504D" w14:textId="77777777" w:rsidR="00995F2C" w:rsidRPr="00995F2C" w:rsidRDefault="00995F2C" w:rsidP="00995F2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Kultūros ir meno renginių organizavimui</w:t>
            </w:r>
          </w:p>
        </w:tc>
      </w:tr>
      <w:tr w:rsidR="00995F2C" w:rsidRPr="00A17BE1" w14:paraId="73434ECC" w14:textId="77777777" w:rsidTr="0087260C">
        <w:tc>
          <w:tcPr>
            <w:tcW w:w="2694" w:type="dxa"/>
            <w:vMerge w:val="restart"/>
          </w:tcPr>
          <w:p w14:paraId="61983A8B" w14:textId="77777777" w:rsidR="00995F2C" w:rsidRPr="00A17BE1" w:rsidRDefault="00995F2C" w:rsidP="00995F2C">
            <w:r w:rsidRPr="00A17BE1">
              <w:t>Valstybės biudžeto lėšos</w:t>
            </w:r>
            <w:r>
              <w:t xml:space="preserve"> (</w:t>
            </w:r>
            <w:r w:rsidRPr="00390A81">
              <w:t>kultūros darbuotojų darbo užmokesčio didinimui</w:t>
            </w:r>
            <w:r>
              <w:t xml:space="preserve"> ir kitoms išlaidoms)</w:t>
            </w:r>
          </w:p>
        </w:tc>
        <w:tc>
          <w:tcPr>
            <w:tcW w:w="1275" w:type="dxa"/>
            <w:vAlign w:val="center"/>
          </w:tcPr>
          <w:p w14:paraId="280AD504" w14:textId="1B7D19A0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29AD138" w14:textId="03A3DF29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8593838" w14:textId="7575FB80" w:rsidR="00995F2C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1CEA53F" w14:textId="5344CF3E" w:rsidR="00995F2C" w:rsidRDefault="00995F2C" w:rsidP="00995F2C">
            <w:pPr>
              <w:jc w:val="center"/>
            </w:pPr>
            <w:r>
              <w:t>1,8</w:t>
            </w:r>
          </w:p>
        </w:tc>
        <w:tc>
          <w:tcPr>
            <w:tcW w:w="2127" w:type="dxa"/>
          </w:tcPr>
          <w:p w14:paraId="0FA620C1" w14:textId="77777777" w:rsidR="00995F2C" w:rsidRPr="00995F2C" w:rsidRDefault="00995F2C" w:rsidP="00995F2C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995F2C" w:rsidRPr="00A17BE1" w14:paraId="5E093775" w14:textId="77777777" w:rsidTr="0087260C">
        <w:tc>
          <w:tcPr>
            <w:tcW w:w="2694" w:type="dxa"/>
            <w:vMerge/>
          </w:tcPr>
          <w:p w14:paraId="7832DB45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5212ED50" w14:textId="59350985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3B26EAA8" w14:textId="3C05F3F0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F050BA4" w14:textId="0C55BC8E" w:rsidR="00995F2C" w:rsidRPr="00A17BE1" w:rsidRDefault="00995F2C" w:rsidP="00995F2C">
            <w:pPr>
              <w:jc w:val="center"/>
            </w:pPr>
            <w:r>
              <w:t>0,4</w:t>
            </w:r>
          </w:p>
        </w:tc>
        <w:tc>
          <w:tcPr>
            <w:tcW w:w="1276" w:type="dxa"/>
            <w:vAlign w:val="center"/>
          </w:tcPr>
          <w:p w14:paraId="5F9C7FE6" w14:textId="4238D1CD" w:rsidR="00995F2C" w:rsidRPr="00A17BE1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11E374EC" w14:textId="77777777" w:rsidR="00995F2C" w:rsidRPr="00995F2C" w:rsidRDefault="00995F2C" w:rsidP="00995F2C">
            <w:pPr>
              <w:rPr>
                <w:color w:val="FF0000"/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Išlaidoms, susijusioms su koronaviruso plitimo grėsmės likvidavimu ir jos padarinių šalinimu</w:t>
            </w:r>
          </w:p>
        </w:tc>
      </w:tr>
      <w:tr w:rsidR="00995F2C" w:rsidRPr="00A17BE1" w14:paraId="74F37887" w14:textId="77777777" w:rsidTr="0087260C">
        <w:tc>
          <w:tcPr>
            <w:tcW w:w="2694" w:type="dxa"/>
          </w:tcPr>
          <w:p w14:paraId="22A16669" w14:textId="77777777" w:rsidR="00995F2C" w:rsidRPr="00A17BE1" w:rsidRDefault="00995F2C" w:rsidP="00995F2C">
            <w:r w:rsidRPr="00390A81">
              <w:t>Lietuvos kultūros taryba</w:t>
            </w:r>
          </w:p>
        </w:tc>
        <w:tc>
          <w:tcPr>
            <w:tcW w:w="1275" w:type="dxa"/>
            <w:vAlign w:val="center"/>
          </w:tcPr>
          <w:p w14:paraId="24E29AFE" w14:textId="52428912" w:rsidR="00995F2C" w:rsidRPr="00A17BE1" w:rsidRDefault="00995F2C" w:rsidP="00995F2C">
            <w:pPr>
              <w:jc w:val="center"/>
            </w:pPr>
            <w:r>
              <w:t>7,3</w:t>
            </w:r>
          </w:p>
        </w:tc>
        <w:tc>
          <w:tcPr>
            <w:tcW w:w="1276" w:type="dxa"/>
            <w:vAlign w:val="center"/>
          </w:tcPr>
          <w:p w14:paraId="2460DBBD" w14:textId="29B835C0" w:rsidR="00995F2C" w:rsidRPr="00A17BE1" w:rsidRDefault="00995F2C" w:rsidP="00995F2C">
            <w:pPr>
              <w:jc w:val="center"/>
            </w:pPr>
            <w:r>
              <w:t>11,3</w:t>
            </w:r>
          </w:p>
        </w:tc>
        <w:tc>
          <w:tcPr>
            <w:tcW w:w="1276" w:type="dxa"/>
            <w:vAlign w:val="center"/>
          </w:tcPr>
          <w:p w14:paraId="32DAB6DB" w14:textId="6FA514CC" w:rsidR="00995F2C" w:rsidRDefault="00995F2C" w:rsidP="00995F2C">
            <w:pPr>
              <w:jc w:val="center"/>
            </w:pPr>
            <w:r>
              <w:t>19,1</w:t>
            </w:r>
          </w:p>
        </w:tc>
        <w:tc>
          <w:tcPr>
            <w:tcW w:w="1276" w:type="dxa"/>
            <w:vAlign w:val="center"/>
          </w:tcPr>
          <w:p w14:paraId="0BA5B732" w14:textId="62D790D1" w:rsidR="00995F2C" w:rsidRDefault="00995F2C" w:rsidP="00995F2C">
            <w:pPr>
              <w:jc w:val="center"/>
            </w:pPr>
            <w:r w:rsidRPr="005639B1">
              <w:t>19,0</w:t>
            </w:r>
          </w:p>
        </w:tc>
        <w:tc>
          <w:tcPr>
            <w:tcW w:w="2127" w:type="dxa"/>
          </w:tcPr>
          <w:p w14:paraId="6F719F26" w14:textId="2B49A702" w:rsidR="00995F2C" w:rsidRPr="00EB7470" w:rsidRDefault="00995F2C" w:rsidP="00995F2C">
            <w:pPr>
              <w:rPr>
                <w:sz w:val="20"/>
                <w:szCs w:val="20"/>
              </w:rPr>
            </w:pPr>
            <w:r w:rsidRPr="00EB7470">
              <w:rPr>
                <w:sz w:val="20"/>
                <w:szCs w:val="20"/>
              </w:rPr>
              <w:t>Folkloro šventė „Pūsk, vėjuži!“</w:t>
            </w:r>
            <w:r>
              <w:rPr>
                <w:sz w:val="20"/>
                <w:szCs w:val="20"/>
              </w:rPr>
              <w:t>,</w:t>
            </w:r>
            <w:r w:rsidRPr="00EB7470">
              <w:rPr>
                <w:sz w:val="20"/>
                <w:szCs w:val="20"/>
              </w:rPr>
              <w:t xml:space="preserve"> </w:t>
            </w:r>
            <w:r w:rsidRPr="00EB7470">
              <w:rPr>
                <w:rFonts w:eastAsia="Calibri"/>
                <w:sz w:val="20"/>
                <w:szCs w:val="20"/>
              </w:rPr>
              <w:t>fesivalis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Pr="00EB7470">
              <w:rPr>
                <w:rFonts w:eastAsia="Calibri"/>
                <w:sz w:val="20"/>
                <w:szCs w:val="20"/>
              </w:rPr>
              <w:t>konkursas „Baltic Voice“</w:t>
            </w:r>
            <w:r>
              <w:rPr>
                <w:rFonts w:eastAsia="Calibri"/>
                <w:sz w:val="20"/>
                <w:szCs w:val="20"/>
              </w:rPr>
              <w:t>, festivalis „Juodkrantės kurorto dienos“</w:t>
            </w:r>
          </w:p>
        </w:tc>
      </w:tr>
      <w:tr w:rsidR="00995F2C" w:rsidRPr="00A17BE1" w14:paraId="730D8793" w14:textId="77777777" w:rsidTr="0087260C">
        <w:tc>
          <w:tcPr>
            <w:tcW w:w="2694" w:type="dxa"/>
          </w:tcPr>
          <w:p w14:paraId="3B63B978" w14:textId="77777777" w:rsidR="00995F2C" w:rsidRPr="00A17BE1" w:rsidRDefault="00995F2C" w:rsidP="00995F2C">
            <w:r>
              <w:t>Europos Sąjungos lėšos</w:t>
            </w:r>
          </w:p>
        </w:tc>
        <w:tc>
          <w:tcPr>
            <w:tcW w:w="1275" w:type="dxa"/>
            <w:vAlign w:val="center"/>
          </w:tcPr>
          <w:p w14:paraId="7BCF161E" w14:textId="77777777" w:rsidR="00995F2C" w:rsidRPr="00A17BE1" w:rsidRDefault="00995F2C" w:rsidP="00995F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9081D2" w14:textId="02DB7A32" w:rsidR="00995F2C" w:rsidRPr="00A17BE1" w:rsidRDefault="00995F2C" w:rsidP="00995F2C">
            <w:pPr>
              <w:jc w:val="center"/>
            </w:pPr>
            <w:r>
              <w:t>11,3</w:t>
            </w:r>
          </w:p>
        </w:tc>
        <w:tc>
          <w:tcPr>
            <w:tcW w:w="1276" w:type="dxa"/>
            <w:vAlign w:val="center"/>
          </w:tcPr>
          <w:p w14:paraId="0CD1381F" w14:textId="3DFDBE10" w:rsidR="00995F2C" w:rsidRDefault="00995F2C" w:rsidP="00995F2C">
            <w:pPr>
              <w:jc w:val="center"/>
            </w:pPr>
            <w:r>
              <w:t>0,6</w:t>
            </w:r>
          </w:p>
        </w:tc>
        <w:tc>
          <w:tcPr>
            <w:tcW w:w="1276" w:type="dxa"/>
            <w:vAlign w:val="center"/>
          </w:tcPr>
          <w:p w14:paraId="5162C724" w14:textId="77110342" w:rsidR="00995F2C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57E8DAA" w14:textId="77777777" w:rsidR="00995F2C" w:rsidRPr="00755184" w:rsidRDefault="00995F2C" w:rsidP="00995F2C">
            <w:pPr>
              <w:tabs>
                <w:tab w:val="num" w:pos="3090"/>
              </w:tabs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fldChar w:fldCharType="begin"/>
            </w:r>
            <w:r w:rsidRPr="00755184">
              <w:rPr>
                <w:sz w:val="20"/>
                <w:szCs w:val="20"/>
              </w:rPr>
              <w:instrText xml:space="preserve"> MERGEFIELD Projekto_pavadinimas </w:instrText>
            </w:r>
            <w:r w:rsidRPr="00755184">
              <w:rPr>
                <w:sz w:val="20"/>
                <w:szCs w:val="20"/>
              </w:rPr>
              <w:fldChar w:fldCharType="separate"/>
            </w:r>
            <w:r w:rsidRPr="00755184">
              <w:rPr>
                <w:sz w:val="20"/>
                <w:szCs w:val="20"/>
              </w:rPr>
              <w:t>Liudviko Rėzos kultūros centro edukacinės ir projektinės veiklos tobulinimas</w:t>
            </w:r>
            <w:r w:rsidRPr="00755184">
              <w:rPr>
                <w:sz w:val="20"/>
                <w:szCs w:val="20"/>
              </w:rPr>
              <w:fldChar w:fldCharType="end"/>
            </w:r>
          </w:p>
        </w:tc>
      </w:tr>
      <w:tr w:rsidR="00995F2C" w:rsidRPr="00A17BE1" w14:paraId="693BEE03" w14:textId="77777777" w:rsidTr="0087260C">
        <w:tc>
          <w:tcPr>
            <w:tcW w:w="2694" w:type="dxa"/>
            <w:vMerge w:val="restart"/>
          </w:tcPr>
          <w:p w14:paraId="691703EB" w14:textId="77777777" w:rsidR="00995F2C" w:rsidRPr="00A17BE1" w:rsidRDefault="00995F2C" w:rsidP="00995F2C">
            <w:r w:rsidRPr="00A17BE1">
              <w:t>Spec. programų (lėšos už mokamas paslaugas ir parduotas prekes) lėšos</w:t>
            </w:r>
          </w:p>
        </w:tc>
        <w:tc>
          <w:tcPr>
            <w:tcW w:w="1275" w:type="dxa"/>
            <w:vAlign w:val="center"/>
          </w:tcPr>
          <w:p w14:paraId="32FE2F68" w14:textId="2075C965" w:rsidR="00995F2C" w:rsidRPr="00A17BE1" w:rsidRDefault="00995F2C" w:rsidP="00995F2C">
            <w:pPr>
              <w:jc w:val="center"/>
            </w:pPr>
            <w:r w:rsidRPr="00A17BE1">
              <w:t>0,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5C6D64DF" w14:textId="00A85D38" w:rsidR="00995F2C" w:rsidRPr="00A17BE1" w:rsidRDefault="00995F2C" w:rsidP="00995F2C">
            <w:pPr>
              <w:jc w:val="center"/>
            </w:pPr>
            <w:r>
              <w:t>0,5</w:t>
            </w:r>
          </w:p>
        </w:tc>
        <w:tc>
          <w:tcPr>
            <w:tcW w:w="1276" w:type="dxa"/>
            <w:vAlign w:val="center"/>
          </w:tcPr>
          <w:p w14:paraId="6BC3B2C6" w14:textId="441A2C7E" w:rsidR="00995F2C" w:rsidRDefault="00995F2C" w:rsidP="00995F2C">
            <w:pPr>
              <w:jc w:val="center"/>
            </w:pPr>
            <w:r>
              <w:t>0,2</w:t>
            </w:r>
          </w:p>
        </w:tc>
        <w:tc>
          <w:tcPr>
            <w:tcW w:w="1276" w:type="dxa"/>
            <w:vAlign w:val="center"/>
          </w:tcPr>
          <w:p w14:paraId="4DAE481F" w14:textId="4A47D5C7" w:rsidR="00995F2C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3211A035" w14:textId="0E77BCBB" w:rsidR="00995F2C" w:rsidRPr="00755184" w:rsidRDefault="00995F2C" w:rsidP="00995F2C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>Darbo užmokesčiui ir socialiniam draudimui</w:t>
            </w:r>
          </w:p>
        </w:tc>
      </w:tr>
      <w:tr w:rsidR="00995F2C" w:rsidRPr="00A17BE1" w14:paraId="4CCA3660" w14:textId="77777777" w:rsidTr="0087260C">
        <w:tc>
          <w:tcPr>
            <w:tcW w:w="2694" w:type="dxa"/>
            <w:vMerge/>
          </w:tcPr>
          <w:p w14:paraId="3B26E459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5E12FC74" w14:textId="1312766D" w:rsidR="00995F2C" w:rsidRPr="00A17BE1" w:rsidRDefault="00995F2C" w:rsidP="00995F2C">
            <w:pPr>
              <w:jc w:val="center"/>
            </w:pPr>
            <w:r w:rsidRPr="00A17BE1">
              <w:t>0,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196BCAFB" w14:textId="69240ED9" w:rsidR="00995F2C" w:rsidRPr="00A17BE1" w:rsidRDefault="00995F2C" w:rsidP="00995F2C">
            <w:pPr>
              <w:jc w:val="center"/>
            </w:pPr>
            <w:r>
              <w:t>0,2</w:t>
            </w:r>
          </w:p>
        </w:tc>
        <w:tc>
          <w:tcPr>
            <w:tcW w:w="1276" w:type="dxa"/>
            <w:vAlign w:val="center"/>
          </w:tcPr>
          <w:p w14:paraId="5756B4AE" w14:textId="568AE184" w:rsidR="00995F2C" w:rsidRDefault="00995F2C" w:rsidP="00995F2C">
            <w:pPr>
              <w:jc w:val="center"/>
            </w:pPr>
            <w:r>
              <w:t>0,1</w:t>
            </w:r>
          </w:p>
        </w:tc>
        <w:tc>
          <w:tcPr>
            <w:tcW w:w="1276" w:type="dxa"/>
            <w:vAlign w:val="center"/>
          </w:tcPr>
          <w:p w14:paraId="345E6B93" w14:textId="27446CBB" w:rsidR="00995F2C" w:rsidRDefault="00995F2C" w:rsidP="00995F2C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2551C39D" w14:textId="77777777" w:rsidR="00995F2C" w:rsidRPr="00755184" w:rsidRDefault="00995F2C" w:rsidP="00995F2C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>Instrumentų taisymui, derinimui</w:t>
            </w:r>
          </w:p>
        </w:tc>
      </w:tr>
      <w:tr w:rsidR="00995F2C" w:rsidRPr="00A17BE1" w14:paraId="008B6053" w14:textId="77777777" w:rsidTr="0087260C">
        <w:trPr>
          <w:trHeight w:val="224"/>
        </w:trPr>
        <w:tc>
          <w:tcPr>
            <w:tcW w:w="2694" w:type="dxa"/>
            <w:vMerge/>
          </w:tcPr>
          <w:p w14:paraId="0494E0A3" w14:textId="77777777" w:rsidR="00995F2C" w:rsidRPr="00A17BE1" w:rsidRDefault="00995F2C" w:rsidP="00995F2C"/>
        </w:tc>
        <w:tc>
          <w:tcPr>
            <w:tcW w:w="1275" w:type="dxa"/>
            <w:vAlign w:val="center"/>
          </w:tcPr>
          <w:p w14:paraId="5E7A85EF" w14:textId="74FA1EF7" w:rsidR="00995F2C" w:rsidRPr="00A17BE1" w:rsidRDefault="00995F2C" w:rsidP="00995F2C">
            <w:pPr>
              <w:jc w:val="center"/>
            </w:pPr>
            <w:r>
              <w:t>5,9</w:t>
            </w:r>
          </w:p>
        </w:tc>
        <w:tc>
          <w:tcPr>
            <w:tcW w:w="1276" w:type="dxa"/>
            <w:vAlign w:val="center"/>
          </w:tcPr>
          <w:p w14:paraId="1D710EEC" w14:textId="46F9F9C0" w:rsidR="00995F2C" w:rsidRPr="00A17BE1" w:rsidRDefault="00995F2C" w:rsidP="00995F2C">
            <w:pPr>
              <w:jc w:val="center"/>
            </w:pPr>
            <w:r>
              <w:t>5,9</w:t>
            </w:r>
          </w:p>
        </w:tc>
        <w:tc>
          <w:tcPr>
            <w:tcW w:w="1276" w:type="dxa"/>
            <w:vAlign w:val="center"/>
          </w:tcPr>
          <w:p w14:paraId="15563932" w14:textId="3418607D" w:rsidR="00995F2C" w:rsidRPr="005B7615" w:rsidRDefault="00995F2C" w:rsidP="00995F2C">
            <w:pPr>
              <w:jc w:val="center"/>
            </w:pPr>
            <w:r>
              <w:t>7,7</w:t>
            </w:r>
          </w:p>
        </w:tc>
        <w:tc>
          <w:tcPr>
            <w:tcW w:w="1276" w:type="dxa"/>
            <w:vAlign w:val="center"/>
          </w:tcPr>
          <w:p w14:paraId="27DCF541" w14:textId="27725ACF" w:rsidR="00995F2C" w:rsidRPr="005B7615" w:rsidRDefault="00995F2C" w:rsidP="00995F2C">
            <w:pPr>
              <w:jc w:val="center"/>
            </w:pPr>
            <w:r>
              <w:t>8,0</w:t>
            </w:r>
          </w:p>
        </w:tc>
        <w:tc>
          <w:tcPr>
            <w:tcW w:w="2127" w:type="dxa"/>
          </w:tcPr>
          <w:p w14:paraId="62B97A08" w14:textId="77777777" w:rsidR="00995F2C" w:rsidRPr="00755184" w:rsidRDefault="00995F2C" w:rsidP="00995F2C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>Pervesti pinigai tiekėjams už parduotas prekes ir paslaugas</w:t>
            </w:r>
          </w:p>
        </w:tc>
      </w:tr>
      <w:tr w:rsidR="00C503C3" w:rsidRPr="00A17BE1" w14:paraId="780F486E" w14:textId="77777777" w:rsidTr="0087260C">
        <w:tc>
          <w:tcPr>
            <w:tcW w:w="2694" w:type="dxa"/>
          </w:tcPr>
          <w:p w14:paraId="7DFAF457" w14:textId="77777777" w:rsidR="00C503C3" w:rsidRPr="00A17BE1" w:rsidRDefault="00C503C3" w:rsidP="007B3BE8">
            <w:r w:rsidRPr="00A17BE1">
              <w:t>Paramos, labdaros lėšos</w:t>
            </w:r>
          </w:p>
        </w:tc>
        <w:tc>
          <w:tcPr>
            <w:tcW w:w="1275" w:type="dxa"/>
          </w:tcPr>
          <w:p w14:paraId="1F7CA38C" w14:textId="77777777" w:rsidR="00C503C3" w:rsidRPr="00A17BE1" w:rsidRDefault="00C503C3" w:rsidP="00871F57">
            <w:pPr>
              <w:jc w:val="center"/>
            </w:pPr>
            <w:r w:rsidRPr="00A17BE1">
              <w:t xml:space="preserve">Gauta </w:t>
            </w:r>
            <w:r w:rsidR="00F31EB8">
              <w:t>5</w:t>
            </w:r>
            <w:r w:rsidR="00B97EFD">
              <w:t>,</w:t>
            </w:r>
            <w:r w:rsidR="00F31EB8">
              <w:t>7</w:t>
            </w:r>
          </w:p>
          <w:p w14:paraId="0B9AED22" w14:textId="77777777" w:rsidR="00C503C3" w:rsidRPr="00A17BE1" w:rsidRDefault="00C503C3" w:rsidP="00871F57">
            <w:pPr>
              <w:jc w:val="center"/>
            </w:pPr>
            <w:r w:rsidRPr="00A17BE1">
              <w:t xml:space="preserve">Panaudota </w:t>
            </w:r>
            <w:r w:rsidR="00F31EB8">
              <w:t>4,9</w:t>
            </w:r>
          </w:p>
        </w:tc>
        <w:tc>
          <w:tcPr>
            <w:tcW w:w="1276" w:type="dxa"/>
          </w:tcPr>
          <w:p w14:paraId="5187D877" w14:textId="77777777" w:rsidR="00C503C3" w:rsidRPr="00A17BE1" w:rsidRDefault="00C503C3" w:rsidP="00871F57">
            <w:pPr>
              <w:jc w:val="center"/>
            </w:pPr>
            <w:r w:rsidRPr="00A17BE1">
              <w:t xml:space="preserve">Gauta </w:t>
            </w:r>
            <w:r w:rsidR="00F31EB8">
              <w:t xml:space="preserve">1,0 </w:t>
            </w:r>
            <w:r w:rsidRPr="00A17BE1">
              <w:t xml:space="preserve">Panaudota </w:t>
            </w:r>
            <w:r w:rsidR="00F31EB8">
              <w:t>0,6</w:t>
            </w:r>
          </w:p>
        </w:tc>
        <w:tc>
          <w:tcPr>
            <w:tcW w:w="1276" w:type="dxa"/>
            <w:vAlign w:val="center"/>
          </w:tcPr>
          <w:p w14:paraId="63882006" w14:textId="4012CF87" w:rsidR="00C503C3" w:rsidRPr="007243A8" w:rsidRDefault="00C503C3" w:rsidP="00274406">
            <w:pPr>
              <w:jc w:val="center"/>
            </w:pPr>
            <w:r w:rsidRPr="00A17BE1">
              <w:t xml:space="preserve">Gauta </w:t>
            </w:r>
            <w:r w:rsidR="00F31EB8">
              <w:t>0,1</w:t>
            </w:r>
            <w:r w:rsidRPr="00A17BE1">
              <w:t xml:space="preserve"> Panaudota </w:t>
            </w:r>
          </w:p>
        </w:tc>
        <w:tc>
          <w:tcPr>
            <w:tcW w:w="1276" w:type="dxa"/>
          </w:tcPr>
          <w:p w14:paraId="78417B5D" w14:textId="77777777" w:rsidR="00C503C3" w:rsidRDefault="00541546" w:rsidP="007B3BE8">
            <w:r w:rsidRPr="00A17BE1">
              <w:t>Gauta</w:t>
            </w:r>
            <w:r>
              <w:t xml:space="preserve"> </w:t>
            </w:r>
            <w:r w:rsidR="00B97EFD">
              <w:t>0,1</w:t>
            </w:r>
          </w:p>
          <w:p w14:paraId="0326A24A" w14:textId="77777777" w:rsidR="000F7441" w:rsidRDefault="000F7441" w:rsidP="007B3BE8">
            <w:r>
              <w:t>Panaudota</w:t>
            </w:r>
          </w:p>
          <w:p w14:paraId="7C2C9BF7" w14:textId="77777777" w:rsidR="000F7441" w:rsidRDefault="00B97EFD" w:rsidP="000F7441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56683D94" w14:textId="77777777" w:rsidR="00C503C3" w:rsidRPr="00A17BE1" w:rsidRDefault="00C503C3" w:rsidP="007B3BE8">
            <w:pPr>
              <w:rPr>
                <w:highlight w:val="yellow"/>
              </w:rPr>
            </w:pPr>
          </w:p>
        </w:tc>
      </w:tr>
      <w:bookmarkEnd w:id="2"/>
    </w:tbl>
    <w:p w14:paraId="7D5A92DA" w14:textId="62BEBC9C" w:rsidR="00A17BE1" w:rsidRDefault="00A17BE1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568CE2" w14:textId="75678D45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0A381BC" w14:textId="3BB4D1E7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E56522" w14:textId="32770D97" w:rsidR="004F7D43" w:rsidRPr="00FD7130" w:rsidRDefault="004F7D43" w:rsidP="004F7D4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4F7D43" w:rsidRPr="00FD7130" w:rsidSect="004F7D43">
      <w:footerReference w:type="default" r:id="rId9"/>
      <w:pgSz w:w="11906" w:h="16838"/>
      <w:pgMar w:top="709" w:right="70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CD4" w14:textId="77777777" w:rsidR="00632A84" w:rsidRDefault="00632A84" w:rsidP="00B81F38">
      <w:r>
        <w:separator/>
      </w:r>
    </w:p>
  </w:endnote>
  <w:endnote w:type="continuationSeparator" w:id="0">
    <w:p w14:paraId="3646DA93" w14:textId="77777777" w:rsidR="00632A84" w:rsidRDefault="00632A84" w:rsidP="00B8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33413"/>
      <w:docPartObj>
        <w:docPartGallery w:val="Page Numbers (Bottom of Page)"/>
        <w:docPartUnique/>
      </w:docPartObj>
    </w:sdtPr>
    <w:sdtEndPr/>
    <w:sdtContent>
      <w:p w14:paraId="4A302ED9" w14:textId="77777777" w:rsidR="007D2781" w:rsidRDefault="007D278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38">
          <w:rPr>
            <w:noProof/>
          </w:rPr>
          <w:t>1</w:t>
        </w:r>
        <w:r>
          <w:fldChar w:fldCharType="end"/>
        </w:r>
      </w:p>
    </w:sdtContent>
  </w:sdt>
  <w:p w14:paraId="3582046A" w14:textId="77777777" w:rsidR="007D2781" w:rsidRDefault="007D27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9D24" w14:textId="77777777" w:rsidR="00632A84" w:rsidRDefault="00632A84" w:rsidP="00B81F38">
      <w:r>
        <w:separator/>
      </w:r>
    </w:p>
  </w:footnote>
  <w:footnote w:type="continuationSeparator" w:id="0">
    <w:p w14:paraId="619AE8CA" w14:textId="77777777" w:rsidR="00632A84" w:rsidRDefault="00632A84" w:rsidP="00B8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7BE"/>
    <w:multiLevelType w:val="hybridMultilevel"/>
    <w:tmpl w:val="2182D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C3F"/>
    <w:multiLevelType w:val="hybridMultilevel"/>
    <w:tmpl w:val="21E2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A27"/>
    <w:multiLevelType w:val="hybridMultilevel"/>
    <w:tmpl w:val="742E7F48"/>
    <w:lvl w:ilvl="0" w:tplc="4AB4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5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E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C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09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43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E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3A0E05"/>
    <w:multiLevelType w:val="hybridMultilevel"/>
    <w:tmpl w:val="F2DED6E2"/>
    <w:lvl w:ilvl="0" w:tplc="1556F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E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E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A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A9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2D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8C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0F2047"/>
    <w:multiLevelType w:val="multilevel"/>
    <w:tmpl w:val="4BA800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 w15:restartNumberingAfterBreak="0">
    <w:nsid w:val="360C15F2"/>
    <w:multiLevelType w:val="hybridMultilevel"/>
    <w:tmpl w:val="C5FCE088"/>
    <w:lvl w:ilvl="0" w:tplc="441A08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3"/>
    <w:rsid w:val="0000124E"/>
    <w:rsid w:val="0000125E"/>
    <w:rsid w:val="00002EAB"/>
    <w:rsid w:val="00003F7B"/>
    <w:rsid w:val="00004EDE"/>
    <w:rsid w:val="00011460"/>
    <w:rsid w:val="00015899"/>
    <w:rsid w:val="000179AA"/>
    <w:rsid w:val="0002128F"/>
    <w:rsid w:val="00025432"/>
    <w:rsid w:val="00025EC0"/>
    <w:rsid w:val="0003545B"/>
    <w:rsid w:val="00036BCC"/>
    <w:rsid w:val="00040CA9"/>
    <w:rsid w:val="00045B7E"/>
    <w:rsid w:val="0004647A"/>
    <w:rsid w:val="00054B02"/>
    <w:rsid w:val="000637BD"/>
    <w:rsid w:val="000664DA"/>
    <w:rsid w:val="00072D55"/>
    <w:rsid w:val="00075A22"/>
    <w:rsid w:val="00076BEB"/>
    <w:rsid w:val="0008040E"/>
    <w:rsid w:val="000811B3"/>
    <w:rsid w:val="00081291"/>
    <w:rsid w:val="00082879"/>
    <w:rsid w:val="00086BE2"/>
    <w:rsid w:val="00093962"/>
    <w:rsid w:val="00093D7F"/>
    <w:rsid w:val="00094485"/>
    <w:rsid w:val="00094EAD"/>
    <w:rsid w:val="000960D0"/>
    <w:rsid w:val="000969CB"/>
    <w:rsid w:val="000A0598"/>
    <w:rsid w:val="000A5BE3"/>
    <w:rsid w:val="000B2673"/>
    <w:rsid w:val="000B3543"/>
    <w:rsid w:val="000B358E"/>
    <w:rsid w:val="000C48AF"/>
    <w:rsid w:val="000D6973"/>
    <w:rsid w:val="000E49C2"/>
    <w:rsid w:val="000F2BE8"/>
    <w:rsid w:val="000F30BE"/>
    <w:rsid w:val="000F574E"/>
    <w:rsid w:val="000F7441"/>
    <w:rsid w:val="00107327"/>
    <w:rsid w:val="001119F1"/>
    <w:rsid w:val="00116E29"/>
    <w:rsid w:val="00116E47"/>
    <w:rsid w:val="00117699"/>
    <w:rsid w:val="00126058"/>
    <w:rsid w:val="00127ABD"/>
    <w:rsid w:val="00131779"/>
    <w:rsid w:val="001332F6"/>
    <w:rsid w:val="00133C17"/>
    <w:rsid w:val="00134E04"/>
    <w:rsid w:val="001355E9"/>
    <w:rsid w:val="001359B6"/>
    <w:rsid w:val="00135DB7"/>
    <w:rsid w:val="00137EA7"/>
    <w:rsid w:val="0014032E"/>
    <w:rsid w:val="00140C86"/>
    <w:rsid w:val="0015785D"/>
    <w:rsid w:val="00161B5B"/>
    <w:rsid w:val="00163C93"/>
    <w:rsid w:val="00165E8D"/>
    <w:rsid w:val="00170680"/>
    <w:rsid w:val="00175741"/>
    <w:rsid w:val="00175BD1"/>
    <w:rsid w:val="0017645B"/>
    <w:rsid w:val="00182137"/>
    <w:rsid w:val="001822CC"/>
    <w:rsid w:val="00184252"/>
    <w:rsid w:val="001857DA"/>
    <w:rsid w:val="00187102"/>
    <w:rsid w:val="001900A1"/>
    <w:rsid w:val="001911E3"/>
    <w:rsid w:val="00195703"/>
    <w:rsid w:val="001A254E"/>
    <w:rsid w:val="001A69C4"/>
    <w:rsid w:val="001B44BE"/>
    <w:rsid w:val="001B6A5C"/>
    <w:rsid w:val="001B79CB"/>
    <w:rsid w:val="001C478D"/>
    <w:rsid w:val="001D1291"/>
    <w:rsid w:val="001D2300"/>
    <w:rsid w:val="001D2437"/>
    <w:rsid w:val="001D5C82"/>
    <w:rsid w:val="001E006C"/>
    <w:rsid w:val="001E1B5D"/>
    <w:rsid w:val="001E54C2"/>
    <w:rsid w:val="001E7BF8"/>
    <w:rsid w:val="001F5AE8"/>
    <w:rsid w:val="00206301"/>
    <w:rsid w:val="00214BAB"/>
    <w:rsid w:val="00216C0E"/>
    <w:rsid w:val="002338A2"/>
    <w:rsid w:val="002441AE"/>
    <w:rsid w:val="0024665F"/>
    <w:rsid w:val="0024766E"/>
    <w:rsid w:val="00255A67"/>
    <w:rsid w:val="00255F83"/>
    <w:rsid w:val="00260E8F"/>
    <w:rsid w:val="00263391"/>
    <w:rsid w:val="00266830"/>
    <w:rsid w:val="00271396"/>
    <w:rsid w:val="0027258B"/>
    <w:rsid w:val="00274406"/>
    <w:rsid w:val="0028079D"/>
    <w:rsid w:val="0028329B"/>
    <w:rsid w:val="00284A21"/>
    <w:rsid w:val="00286842"/>
    <w:rsid w:val="00287325"/>
    <w:rsid w:val="00293AD0"/>
    <w:rsid w:val="00293E17"/>
    <w:rsid w:val="00294155"/>
    <w:rsid w:val="00294A04"/>
    <w:rsid w:val="002A03DC"/>
    <w:rsid w:val="002A496F"/>
    <w:rsid w:val="002B2722"/>
    <w:rsid w:val="002B3039"/>
    <w:rsid w:val="002B49EE"/>
    <w:rsid w:val="002D14A3"/>
    <w:rsid w:val="002D2941"/>
    <w:rsid w:val="002D67CC"/>
    <w:rsid w:val="002E170C"/>
    <w:rsid w:val="002E345B"/>
    <w:rsid w:val="002E557E"/>
    <w:rsid w:val="002F6637"/>
    <w:rsid w:val="002F764C"/>
    <w:rsid w:val="002F7A6E"/>
    <w:rsid w:val="003042AC"/>
    <w:rsid w:val="00312BF5"/>
    <w:rsid w:val="0031368D"/>
    <w:rsid w:val="00316F89"/>
    <w:rsid w:val="00323C19"/>
    <w:rsid w:val="0034120A"/>
    <w:rsid w:val="0034278C"/>
    <w:rsid w:val="0034331D"/>
    <w:rsid w:val="00347548"/>
    <w:rsid w:val="00350198"/>
    <w:rsid w:val="00354ABC"/>
    <w:rsid w:val="0035724B"/>
    <w:rsid w:val="00374990"/>
    <w:rsid w:val="00385508"/>
    <w:rsid w:val="003868DB"/>
    <w:rsid w:val="00390A81"/>
    <w:rsid w:val="00391CE4"/>
    <w:rsid w:val="003964BF"/>
    <w:rsid w:val="003A0453"/>
    <w:rsid w:val="003A1A00"/>
    <w:rsid w:val="003B145C"/>
    <w:rsid w:val="003B154C"/>
    <w:rsid w:val="003B5C27"/>
    <w:rsid w:val="003C3F1A"/>
    <w:rsid w:val="003C66D7"/>
    <w:rsid w:val="003E44F8"/>
    <w:rsid w:val="003F3419"/>
    <w:rsid w:val="003F53C1"/>
    <w:rsid w:val="003F6DCD"/>
    <w:rsid w:val="00402DA4"/>
    <w:rsid w:val="00403FFF"/>
    <w:rsid w:val="004061F9"/>
    <w:rsid w:val="00410242"/>
    <w:rsid w:val="004133F7"/>
    <w:rsid w:val="00415A88"/>
    <w:rsid w:val="00426706"/>
    <w:rsid w:val="00433851"/>
    <w:rsid w:val="00434346"/>
    <w:rsid w:val="00436ABE"/>
    <w:rsid w:val="00441674"/>
    <w:rsid w:val="00454F5A"/>
    <w:rsid w:val="004566D5"/>
    <w:rsid w:val="00456CFB"/>
    <w:rsid w:val="00462A5D"/>
    <w:rsid w:val="00463EA1"/>
    <w:rsid w:val="004757B6"/>
    <w:rsid w:val="004A3253"/>
    <w:rsid w:val="004A513A"/>
    <w:rsid w:val="004B0D57"/>
    <w:rsid w:val="004B1313"/>
    <w:rsid w:val="004B2187"/>
    <w:rsid w:val="004C528D"/>
    <w:rsid w:val="004E23E9"/>
    <w:rsid w:val="004E4EEC"/>
    <w:rsid w:val="004F1A30"/>
    <w:rsid w:val="004F224B"/>
    <w:rsid w:val="004F7CC0"/>
    <w:rsid w:val="004F7D43"/>
    <w:rsid w:val="004F7DF5"/>
    <w:rsid w:val="005069CB"/>
    <w:rsid w:val="00511D09"/>
    <w:rsid w:val="005133BA"/>
    <w:rsid w:val="00514820"/>
    <w:rsid w:val="00514909"/>
    <w:rsid w:val="00515C70"/>
    <w:rsid w:val="00524732"/>
    <w:rsid w:val="00525875"/>
    <w:rsid w:val="005260C5"/>
    <w:rsid w:val="00526CEE"/>
    <w:rsid w:val="005316CE"/>
    <w:rsid w:val="00534677"/>
    <w:rsid w:val="00537005"/>
    <w:rsid w:val="00541546"/>
    <w:rsid w:val="00543802"/>
    <w:rsid w:val="005509CF"/>
    <w:rsid w:val="00553556"/>
    <w:rsid w:val="005554D9"/>
    <w:rsid w:val="00556777"/>
    <w:rsid w:val="00561412"/>
    <w:rsid w:val="00564845"/>
    <w:rsid w:val="0056656E"/>
    <w:rsid w:val="00573E10"/>
    <w:rsid w:val="00573F53"/>
    <w:rsid w:val="005850CD"/>
    <w:rsid w:val="005935F5"/>
    <w:rsid w:val="00593945"/>
    <w:rsid w:val="005A1FA6"/>
    <w:rsid w:val="005A627A"/>
    <w:rsid w:val="005A6B96"/>
    <w:rsid w:val="005B2403"/>
    <w:rsid w:val="005B5561"/>
    <w:rsid w:val="005B5627"/>
    <w:rsid w:val="005B5F6D"/>
    <w:rsid w:val="005B7615"/>
    <w:rsid w:val="005C14C7"/>
    <w:rsid w:val="005D4A3B"/>
    <w:rsid w:val="005F0D90"/>
    <w:rsid w:val="005F512E"/>
    <w:rsid w:val="005F7F16"/>
    <w:rsid w:val="00615592"/>
    <w:rsid w:val="006206C2"/>
    <w:rsid w:val="00623BC3"/>
    <w:rsid w:val="00632A84"/>
    <w:rsid w:val="00640779"/>
    <w:rsid w:val="006432F5"/>
    <w:rsid w:val="006453AA"/>
    <w:rsid w:val="00647D1B"/>
    <w:rsid w:val="00657E2B"/>
    <w:rsid w:val="0066326F"/>
    <w:rsid w:val="006660BD"/>
    <w:rsid w:val="00676F1C"/>
    <w:rsid w:val="00677218"/>
    <w:rsid w:val="00682B65"/>
    <w:rsid w:val="00685541"/>
    <w:rsid w:val="006906EF"/>
    <w:rsid w:val="00691E22"/>
    <w:rsid w:val="006A0C24"/>
    <w:rsid w:val="006A125D"/>
    <w:rsid w:val="006B1B93"/>
    <w:rsid w:val="006B5703"/>
    <w:rsid w:val="006B75D6"/>
    <w:rsid w:val="006D1E88"/>
    <w:rsid w:val="006E0BE6"/>
    <w:rsid w:val="006E2670"/>
    <w:rsid w:val="006E41E9"/>
    <w:rsid w:val="006F0796"/>
    <w:rsid w:val="0070201B"/>
    <w:rsid w:val="00703961"/>
    <w:rsid w:val="00713397"/>
    <w:rsid w:val="00715120"/>
    <w:rsid w:val="007176CA"/>
    <w:rsid w:val="007243A8"/>
    <w:rsid w:val="00724E68"/>
    <w:rsid w:val="00726EE7"/>
    <w:rsid w:val="00727B97"/>
    <w:rsid w:val="00730040"/>
    <w:rsid w:val="007318AE"/>
    <w:rsid w:val="0073401B"/>
    <w:rsid w:val="0073578B"/>
    <w:rsid w:val="00735A9F"/>
    <w:rsid w:val="00742C7B"/>
    <w:rsid w:val="00742D7D"/>
    <w:rsid w:val="0074579B"/>
    <w:rsid w:val="00754D93"/>
    <w:rsid w:val="00755184"/>
    <w:rsid w:val="00762BE6"/>
    <w:rsid w:val="00770E94"/>
    <w:rsid w:val="00781A70"/>
    <w:rsid w:val="00781AD4"/>
    <w:rsid w:val="00783D38"/>
    <w:rsid w:val="00790F7D"/>
    <w:rsid w:val="007924DE"/>
    <w:rsid w:val="00793B8B"/>
    <w:rsid w:val="00796695"/>
    <w:rsid w:val="007A372B"/>
    <w:rsid w:val="007A62AA"/>
    <w:rsid w:val="007B0091"/>
    <w:rsid w:val="007B3BE8"/>
    <w:rsid w:val="007D13A3"/>
    <w:rsid w:val="007D2007"/>
    <w:rsid w:val="007D2781"/>
    <w:rsid w:val="007E308D"/>
    <w:rsid w:val="007E39D6"/>
    <w:rsid w:val="007E4746"/>
    <w:rsid w:val="007E62C8"/>
    <w:rsid w:val="007F1A0F"/>
    <w:rsid w:val="007F3DA1"/>
    <w:rsid w:val="008007E4"/>
    <w:rsid w:val="00803CA1"/>
    <w:rsid w:val="00804DBF"/>
    <w:rsid w:val="00817D98"/>
    <w:rsid w:val="0082148F"/>
    <w:rsid w:val="0083272D"/>
    <w:rsid w:val="00832894"/>
    <w:rsid w:val="00837E94"/>
    <w:rsid w:val="0084610E"/>
    <w:rsid w:val="0084772E"/>
    <w:rsid w:val="00855778"/>
    <w:rsid w:val="00861936"/>
    <w:rsid w:val="00862D36"/>
    <w:rsid w:val="00864A3A"/>
    <w:rsid w:val="00871F57"/>
    <w:rsid w:val="008720AE"/>
    <w:rsid w:val="0087260C"/>
    <w:rsid w:val="0087509E"/>
    <w:rsid w:val="00876839"/>
    <w:rsid w:val="00882D9B"/>
    <w:rsid w:val="00887E4F"/>
    <w:rsid w:val="00895D9E"/>
    <w:rsid w:val="008972A6"/>
    <w:rsid w:val="008A07E8"/>
    <w:rsid w:val="008A170B"/>
    <w:rsid w:val="008A2CC0"/>
    <w:rsid w:val="008A4109"/>
    <w:rsid w:val="008A4865"/>
    <w:rsid w:val="008B0241"/>
    <w:rsid w:val="008B0814"/>
    <w:rsid w:val="008B22FA"/>
    <w:rsid w:val="008B5E04"/>
    <w:rsid w:val="008B7499"/>
    <w:rsid w:val="008C5795"/>
    <w:rsid w:val="008D15E4"/>
    <w:rsid w:val="008D3BC4"/>
    <w:rsid w:val="008D7837"/>
    <w:rsid w:val="008F4BF9"/>
    <w:rsid w:val="009015D6"/>
    <w:rsid w:val="009022ED"/>
    <w:rsid w:val="0091054E"/>
    <w:rsid w:val="00911503"/>
    <w:rsid w:val="0091174D"/>
    <w:rsid w:val="009120BD"/>
    <w:rsid w:val="00914C82"/>
    <w:rsid w:val="00920A67"/>
    <w:rsid w:val="0092188B"/>
    <w:rsid w:val="00922DCB"/>
    <w:rsid w:val="00927CF1"/>
    <w:rsid w:val="00931184"/>
    <w:rsid w:val="00936149"/>
    <w:rsid w:val="00940EDE"/>
    <w:rsid w:val="00941FB8"/>
    <w:rsid w:val="0094204E"/>
    <w:rsid w:val="009434E8"/>
    <w:rsid w:val="00960594"/>
    <w:rsid w:val="00977342"/>
    <w:rsid w:val="00982F7D"/>
    <w:rsid w:val="00985C92"/>
    <w:rsid w:val="00986124"/>
    <w:rsid w:val="00986770"/>
    <w:rsid w:val="00995F2C"/>
    <w:rsid w:val="00996492"/>
    <w:rsid w:val="009A1DEE"/>
    <w:rsid w:val="009A51D1"/>
    <w:rsid w:val="009B16BF"/>
    <w:rsid w:val="009B5A60"/>
    <w:rsid w:val="009C0D40"/>
    <w:rsid w:val="009C1403"/>
    <w:rsid w:val="009C24DC"/>
    <w:rsid w:val="009C24EF"/>
    <w:rsid w:val="009C7706"/>
    <w:rsid w:val="009D3BF2"/>
    <w:rsid w:val="009E0C42"/>
    <w:rsid w:val="009E6F58"/>
    <w:rsid w:val="009F0D16"/>
    <w:rsid w:val="009F24B3"/>
    <w:rsid w:val="009F7620"/>
    <w:rsid w:val="00A0047D"/>
    <w:rsid w:val="00A078CF"/>
    <w:rsid w:val="00A150E0"/>
    <w:rsid w:val="00A17769"/>
    <w:rsid w:val="00A17BE1"/>
    <w:rsid w:val="00A20EA1"/>
    <w:rsid w:val="00A218BC"/>
    <w:rsid w:val="00A26230"/>
    <w:rsid w:val="00A27F24"/>
    <w:rsid w:val="00A32E47"/>
    <w:rsid w:val="00A504A1"/>
    <w:rsid w:val="00A552EE"/>
    <w:rsid w:val="00A56272"/>
    <w:rsid w:val="00A57069"/>
    <w:rsid w:val="00A7044A"/>
    <w:rsid w:val="00A80434"/>
    <w:rsid w:val="00A80617"/>
    <w:rsid w:val="00A90B26"/>
    <w:rsid w:val="00A90F4A"/>
    <w:rsid w:val="00AA127B"/>
    <w:rsid w:val="00AA4E00"/>
    <w:rsid w:val="00AA6A33"/>
    <w:rsid w:val="00AA78DE"/>
    <w:rsid w:val="00AB5B26"/>
    <w:rsid w:val="00AC6220"/>
    <w:rsid w:val="00AC664D"/>
    <w:rsid w:val="00AC6FF6"/>
    <w:rsid w:val="00AD05AC"/>
    <w:rsid w:val="00AD2035"/>
    <w:rsid w:val="00AD3E6B"/>
    <w:rsid w:val="00AD3EFA"/>
    <w:rsid w:val="00AD641E"/>
    <w:rsid w:val="00AE2B73"/>
    <w:rsid w:val="00AF0134"/>
    <w:rsid w:val="00AF4AAB"/>
    <w:rsid w:val="00AF5BC0"/>
    <w:rsid w:val="00AF6BD6"/>
    <w:rsid w:val="00B000F7"/>
    <w:rsid w:val="00B010F8"/>
    <w:rsid w:val="00B01E12"/>
    <w:rsid w:val="00B054AE"/>
    <w:rsid w:val="00B068BE"/>
    <w:rsid w:val="00B07722"/>
    <w:rsid w:val="00B1621D"/>
    <w:rsid w:val="00B26117"/>
    <w:rsid w:val="00B32F02"/>
    <w:rsid w:val="00B33837"/>
    <w:rsid w:val="00B33B8A"/>
    <w:rsid w:val="00B365B0"/>
    <w:rsid w:val="00B50704"/>
    <w:rsid w:val="00B53D1F"/>
    <w:rsid w:val="00B55F3D"/>
    <w:rsid w:val="00B5626A"/>
    <w:rsid w:val="00B637C9"/>
    <w:rsid w:val="00B6472F"/>
    <w:rsid w:val="00B67E63"/>
    <w:rsid w:val="00B741BF"/>
    <w:rsid w:val="00B81B80"/>
    <w:rsid w:val="00B81F38"/>
    <w:rsid w:val="00B86B5F"/>
    <w:rsid w:val="00B92A34"/>
    <w:rsid w:val="00B97EFD"/>
    <w:rsid w:val="00BA5668"/>
    <w:rsid w:val="00BA7EA8"/>
    <w:rsid w:val="00BB56CA"/>
    <w:rsid w:val="00BC73BB"/>
    <w:rsid w:val="00BC777A"/>
    <w:rsid w:val="00BD1407"/>
    <w:rsid w:val="00BD1A64"/>
    <w:rsid w:val="00BD69A1"/>
    <w:rsid w:val="00BE145B"/>
    <w:rsid w:val="00BF7384"/>
    <w:rsid w:val="00C03838"/>
    <w:rsid w:val="00C0705A"/>
    <w:rsid w:val="00C2702A"/>
    <w:rsid w:val="00C32FD7"/>
    <w:rsid w:val="00C35C3C"/>
    <w:rsid w:val="00C36739"/>
    <w:rsid w:val="00C43854"/>
    <w:rsid w:val="00C4618A"/>
    <w:rsid w:val="00C503C3"/>
    <w:rsid w:val="00C52606"/>
    <w:rsid w:val="00C547BD"/>
    <w:rsid w:val="00C54DE2"/>
    <w:rsid w:val="00C64A5B"/>
    <w:rsid w:val="00C65FAF"/>
    <w:rsid w:val="00C7498A"/>
    <w:rsid w:val="00C7675B"/>
    <w:rsid w:val="00C77C6E"/>
    <w:rsid w:val="00C9596D"/>
    <w:rsid w:val="00C97C42"/>
    <w:rsid w:val="00CA2381"/>
    <w:rsid w:val="00CA5C13"/>
    <w:rsid w:val="00CB06CC"/>
    <w:rsid w:val="00CB47D1"/>
    <w:rsid w:val="00CB685F"/>
    <w:rsid w:val="00CB726B"/>
    <w:rsid w:val="00CC1FA4"/>
    <w:rsid w:val="00CD0CD9"/>
    <w:rsid w:val="00CD4829"/>
    <w:rsid w:val="00CE13E3"/>
    <w:rsid w:val="00CF23D2"/>
    <w:rsid w:val="00CF591D"/>
    <w:rsid w:val="00D02918"/>
    <w:rsid w:val="00D060AC"/>
    <w:rsid w:val="00D0714E"/>
    <w:rsid w:val="00D2111D"/>
    <w:rsid w:val="00D21559"/>
    <w:rsid w:val="00D35BF3"/>
    <w:rsid w:val="00D37070"/>
    <w:rsid w:val="00D37D34"/>
    <w:rsid w:val="00D45493"/>
    <w:rsid w:val="00D5399D"/>
    <w:rsid w:val="00D556F8"/>
    <w:rsid w:val="00D57389"/>
    <w:rsid w:val="00D612B6"/>
    <w:rsid w:val="00D61D6A"/>
    <w:rsid w:val="00D6364F"/>
    <w:rsid w:val="00D666D1"/>
    <w:rsid w:val="00D74252"/>
    <w:rsid w:val="00D77681"/>
    <w:rsid w:val="00D82164"/>
    <w:rsid w:val="00D90A34"/>
    <w:rsid w:val="00D91990"/>
    <w:rsid w:val="00DA0868"/>
    <w:rsid w:val="00DB1DC7"/>
    <w:rsid w:val="00DB4833"/>
    <w:rsid w:val="00DB78DA"/>
    <w:rsid w:val="00DC7973"/>
    <w:rsid w:val="00DD26D3"/>
    <w:rsid w:val="00DD51E7"/>
    <w:rsid w:val="00DD5504"/>
    <w:rsid w:val="00DD5939"/>
    <w:rsid w:val="00DE1D49"/>
    <w:rsid w:val="00DE206F"/>
    <w:rsid w:val="00DE6E52"/>
    <w:rsid w:val="00DE787F"/>
    <w:rsid w:val="00DE7EDC"/>
    <w:rsid w:val="00DF09E6"/>
    <w:rsid w:val="00DF4638"/>
    <w:rsid w:val="00DF74CA"/>
    <w:rsid w:val="00DF7A25"/>
    <w:rsid w:val="00E04278"/>
    <w:rsid w:val="00E15C99"/>
    <w:rsid w:val="00E17819"/>
    <w:rsid w:val="00E21ED1"/>
    <w:rsid w:val="00E3351B"/>
    <w:rsid w:val="00E366C5"/>
    <w:rsid w:val="00E427C1"/>
    <w:rsid w:val="00E46C92"/>
    <w:rsid w:val="00E47F71"/>
    <w:rsid w:val="00E5085E"/>
    <w:rsid w:val="00E559F7"/>
    <w:rsid w:val="00E574D3"/>
    <w:rsid w:val="00E60564"/>
    <w:rsid w:val="00E611E8"/>
    <w:rsid w:val="00E61B74"/>
    <w:rsid w:val="00E61FDA"/>
    <w:rsid w:val="00E62671"/>
    <w:rsid w:val="00E64065"/>
    <w:rsid w:val="00E704FB"/>
    <w:rsid w:val="00E713AD"/>
    <w:rsid w:val="00E7367C"/>
    <w:rsid w:val="00E76139"/>
    <w:rsid w:val="00E76F84"/>
    <w:rsid w:val="00E803DC"/>
    <w:rsid w:val="00E83278"/>
    <w:rsid w:val="00E879B0"/>
    <w:rsid w:val="00E923E7"/>
    <w:rsid w:val="00E974CC"/>
    <w:rsid w:val="00EA0BFA"/>
    <w:rsid w:val="00EA0F3C"/>
    <w:rsid w:val="00EB517E"/>
    <w:rsid w:val="00EB64F1"/>
    <w:rsid w:val="00EB7470"/>
    <w:rsid w:val="00EC154D"/>
    <w:rsid w:val="00EC42A8"/>
    <w:rsid w:val="00EC4468"/>
    <w:rsid w:val="00EC4477"/>
    <w:rsid w:val="00EC78F6"/>
    <w:rsid w:val="00EE4D59"/>
    <w:rsid w:val="00EE6A0F"/>
    <w:rsid w:val="00EF407D"/>
    <w:rsid w:val="00EF59F0"/>
    <w:rsid w:val="00F10C04"/>
    <w:rsid w:val="00F111AF"/>
    <w:rsid w:val="00F12D23"/>
    <w:rsid w:val="00F17C14"/>
    <w:rsid w:val="00F209DF"/>
    <w:rsid w:val="00F216BD"/>
    <w:rsid w:val="00F263D6"/>
    <w:rsid w:val="00F31EB8"/>
    <w:rsid w:val="00F335F3"/>
    <w:rsid w:val="00F440BE"/>
    <w:rsid w:val="00F5539E"/>
    <w:rsid w:val="00F61CD9"/>
    <w:rsid w:val="00F62B63"/>
    <w:rsid w:val="00F64E4C"/>
    <w:rsid w:val="00F6504C"/>
    <w:rsid w:val="00F672C4"/>
    <w:rsid w:val="00F67F73"/>
    <w:rsid w:val="00F729FB"/>
    <w:rsid w:val="00F74C67"/>
    <w:rsid w:val="00F76258"/>
    <w:rsid w:val="00F85199"/>
    <w:rsid w:val="00F86D90"/>
    <w:rsid w:val="00F9388C"/>
    <w:rsid w:val="00F93ED4"/>
    <w:rsid w:val="00FA3E0B"/>
    <w:rsid w:val="00FB3FE9"/>
    <w:rsid w:val="00FB73D2"/>
    <w:rsid w:val="00FC204B"/>
    <w:rsid w:val="00FC2CB4"/>
    <w:rsid w:val="00FC5C1A"/>
    <w:rsid w:val="00FD7130"/>
    <w:rsid w:val="00FE03E1"/>
    <w:rsid w:val="00FE0559"/>
    <w:rsid w:val="00FF1538"/>
    <w:rsid w:val="00FF1E45"/>
    <w:rsid w:val="00FF20CB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1A78"/>
  <w15:docId w15:val="{E0416925-3538-49FB-9AC8-2AA3E65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A078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8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4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rsid w:val="00862D36"/>
    <w:rPr>
      <w:color w:val="000080"/>
      <w:u w:val="single"/>
    </w:rPr>
  </w:style>
  <w:style w:type="character" w:styleId="Emfaz">
    <w:name w:val="Emphasis"/>
    <w:basedOn w:val="Numatytasispastraiposriftas"/>
    <w:uiPriority w:val="20"/>
    <w:qFormat/>
    <w:rsid w:val="00D6364F"/>
    <w:rPr>
      <w:i/>
    </w:rPr>
  </w:style>
  <w:style w:type="paragraph" w:styleId="prastasiniatinklio">
    <w:name w:val="Normal (Web)"/>
    <w:basedOn w:val="prastasis"/>
    <w:uiPriority w:val="99"/>
    <w:unhideWhenUsed/>
    <w:rsid w:val="00D3707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37070"/>
    <w:rPr>
      <w:b/>
      <w:bCs/>
    </w:rPr>
  </w:style>
  <w:style w:type="character" w:customStyle="1" w:styleId="apple-converted-space">
    <w:name w:val="apple-converted-space"/>
    <w:basedOn w:val="Numatytasispastraiposriftas"/>
    <w:rsid w:val="00D370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1B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1B80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Numatytasispastraiposriftas"/>
    <w:rsid w:val="0084610E"/>
  </w:style>
  <w:style w:type="character" w:customStyle="1" w:styleId="Antrat1Diagrama">
    <w:name w:val="Antraštė 1 Diagrama"/>
    <w:basedOn w:val="Numatytasispastraiposriftas"/>
    <w:link w:val="Antrat1"/>
    <w:uiPriority w:val="9"/>
    <w:rsid w:val="00A078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grindinistekstas">
    <w:name w:val="Body Text"/>
    <w:basedOn w:val="prastasis"/>
    <w:link w:val="PagrindinistekstasDiagrama"/>
    <w:rsid w:val="00B068B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8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tarp">
    <w:name w:val="No Spacing"/>
    <w:qFormat/>
    <w:rsid w:val="00FD7130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1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73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iankstoformatuotas">
    <w:name w:val="HTML Preformatted"/>
    <w:basedOn w:val="prastasis"/>
    <w:link w:val="HTMLiankstoformatuotasDiagrama"/>
    <w:rsid w:val="007F3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F3DA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Style9">
    <w:name w:val="Style9"/>
    <w:basedOn w:val="prastasis"/>
    <w:uiPriority w:val="99"/>
    <w:rsid w:val="000179AA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lang w:val="en-US" w:eastAsia="en-US"/>
    </w:rPr>
  </w:style>
  <w:style w:type="character" w:customStyle="1" w:styleId="FontStyle17">
    <w:name w:val="Font Style17"/>
    <w:rsid w:val="000179AA"/>
    <w:rPr>
      <w:rFonts w:ascii="Times New Roman" w:hAnsi="Times New Roman"/>
      <w:sz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4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DE78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nhideWhenUsed/>
    <w:rsid w:val="00190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900A1"/>
  </w:style>
  <w:style w:type="paragraph" w:styleId="Pavadinimas">
    <w:name w:val="Title"/>
    <w:basedOn w:val="prastasis"/>
    <w:next w:val="Paantrat"/>
    <w:link w:val="PavadinimasDiagrama"/>
    <w:qFormat/>
    <w:rsid w:val="008720AE"/>
    <w:pPr>
      <w:suppressAutoHyphens/>
      <w:jc w:val="center"/>
    </w:pPr>
    <w:rPr>
      <w:b/>
      <w:bCs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20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20A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8720AE"/>
    <w:rPr>
      <w:rFonts w:ascii="Cambria" w:eastAsia="Times New Roman" w:hAnsi="Cambria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81F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81F38"/>
  </w:style>
  <w:style w:type="paragraph" w:customStyle="1" w:styleId="NormalWeb1">
    <w:name w:val="Normal (Web)1"/>
    <w:basedOn w:val="prastasis"/>
    <w:rsid w:val="008A07E8"/>
    <w:pPr>
      <w:widowControl w:val="0"/>
      <w:suppressAutoHyphens/>
      <w:autoSpaceDN w:val="0"/>
    </w:pPr>
    <w:rPr>
      <w:rFonts w:eastAsia="SimSun" w:cs="Tahoma"/>
      <w:kern w:val="3"/>
      <w:lang w:eastAsia="hi-IN" w:bidi="hi-IN"/>
    </w:rPr>
  </w:style>
  <w:style w:type="paragraph" w:customStyle="1" w:styleId="Style10">
    <w:name w:val="Style10"/>
    <w:basedOn w:val="prastasis"/>
    <w:rsid w:val="00AE2B73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783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customStyle="1" w:styleId="Default">
    <w:name w:val="Default"/>
    <w:rsid w:val="00FA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EC154D"/>
    <w:rPr>
      <w:color w:val="808080"/>
    </w:rPr>
  </w:style>
  <w:style w:type="paragraph" w:styleId="Pataisymai">
    <w:name w:val="Revision"/>
    <w:hidden/>
    <w:uiPriority w:val="99"/>
    <w:semiHidden/>
    <w:rsid w:val="009D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8FC5-350D-416F-94C1-D91C9F9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12230</Words>
  <Characters>6972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Sonata Vaitonienė</dc:creator>
  <cp:lastModifiedBy>Ignė Kriščiūnaitė</cp:lastModifiedBy>
  <cp:revision>3</cp:revision>
  <cp:lastPrinted>2021-02-25T13:20:00Z</cp:lastPrinted>
  <dcterms:created xsi:type="dcterms:W3CDTF">2022-02-03T06:53:00Z</dcterms:created>
  <dcterms:modified xsi:type="dcterms:W3CDTF">2022-02-24T06:14:00Z</dcterms:modified>
</cp:coreProperties>
</file>