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25629" w14:textId="77777777" w:rsidR="00CE13E3" w:rsidRPr="008A07E8" w:rsidRDefault="00CE13E3" w:rsidP="00CE13E3">
      <w:pPr>
        <w:spacing w:line="276" w:lineRule="auto"/>
      </w:pPr>
      <w:r w:rsidRPr="008A07E8">
        <w:rPr>
          <w:color w:val="000000"/>
        </w:rPr>
        <w:t xml:space="preserve">                                                                                                   </w:t>
      </w:r>
      <w:r>
        <w:rPr>
          <w:color w:val="000000"/>
        </w:rPr>
        <w:t xml:space="preserve"> </w:t>
      </w:r>
      <w:r w:rsidRPr="008A07E8">
        <w:rPr>
          <w:color w:val="000000"/>
        </w:rPr>
        <w:t>PRITARTA</w:t>
      </w:r>
    </w:p>
    <w:p w14:paraId="78002D72" w14:textId="77777777" w:rsidR="00CE13E3" w:rsidRPr="008A07E8" w:rsidRDefault="00CE13E3" w:rsidP="00CE13E3">
      <w:pPr>
        <w:pStyle w:val="NormalWeb1"/>
        <w:spacing w:line="276" w:lineRule="auto"/>
        <w:ind w:left="5184"/>
        <w:rPr>
          <w:rFonts w:cs="Times New Roman"/>
          <w:color w:val="000000"/>
        </w:rPr>
      </w:pPr>
      <w:r w:rsidRPr="008A07E8">
        <w:rPr>
          <w:rFonts w:cs="Times New Roman"/>
          <w:color w:val="000000"/>
        </w:rPr>
        <w:t xml:space="preserve">              Neringos savivaldybės tarybos</w:t>
      </w:r>
    </w:p>
    <w:p w14:paraId="39DC645A" w14:textId="77AC125E" w:rsidR="00CE13E3" w:rsidRPr="008A07E8" w:rsidRDefault="00CE13E3" w:rsidP="00CE13E3">
      <w:pPr>
        <w:shd w:val="clear" w:color="auto" w:fill="FFFFFF"/>
        <w:spacing w:before="5" w:line="276" w:lineRule="auto"/>
        <w:ind w:left="5190"/>
      </w:pPr>
      <w:r w:rsidRPr="008A07E8">
        <w:rPr>
          <w:color w:val="000000"/>
          <w:spacing w:val="-5"/>
        </w:rPr>
        <w:t xml:space="preserve">              </w:t>
      </w:r>
      <w:r>
        <w:rPr>
          <w:color w:val="000000"/>
          <w:spacing w:val="-5"/>
        </w:rPr>
        <w:t xml:space="preserve"> </w:t>
      </w:r>
      <w:r w:rsidRPr="008A07E8">
        <w:rPr>
          <w:color w:val="000000"/>
          <w:spacing w:val="-5"/>
        </w:rPr>
        <w:t>20</w:t>
      </w:r>
      <w:r w:rsidR="00D666D1">
        <w:rPr>
          <w:color w:val="000000"/>
          <w:spacing w:val="-5"/>
        </w:rPr>
        <w:t>21</w:t>
      </w:r>
      <w:r w:rsidRPr="008A07E8">
        <w:rPr>
          <w:color w:val="000000"/>
          <w:spacing w:val="-5"/>
        </w:rPr>
        <w:t xml:space="preserve"> m. </w:t>
      </w:r>
      <w:r>
        <w:rPr>
          <w:color w:val="000000"/>
          <w:spacing w:val="-5"/>
        </w:rPr>
        <w:t>vasario</w:t>
      </w:r>
      <w:r w:rsidRPr="008A07E8">
        <w:rPr>
          <w:color w:val="000000"/>
          <w:spacing w:val="-5"/>
        </w:rPr>
        <w:t xml:space="preserve"> </w:t>
      </w:r>
      <w:r w:rsidR="00D060AC">
        <w:rPr>
          <w:color w:val="000000"/>
          <w:spacing w:val="-5"/>
        </w:rPr>
        <w:t>25</w:t>
      </w:r>
      <w:r w:rsidRPr="008A07E8">
        <w:rPr>
          <w:color w:val="000000"/>
          <w:spacing w:val="-5"/>
        </w:rPr>
        <w:t xml:space="preserve"> d. </w:t>
      </w:r>
    </w:p>
    <w:p w14:paraId="5702A6F0" w14:textId="33094A8C" w:rsidR="00CE13E3" w:rsidRPr="008A07E8" w:rsidRDefault="00CE13E3" w:rsidP="00CE13E3">
      <w:pPr>
        <w:shd w:val="clear" w:color="auto" w:fill="FFFFFF"/>
        <w:spacing w:before="5" w:line="276" w:lineRule="auto"/>
        <w:ind w:left="5190"/>
      </w:pPr>
      <w:r w:rsidRPr="008A07E8">
        <w:rPr>
          <w:color w:val="000000"/>
          <w:spacing w:val="-5"/>
        </w:rPr>
        <w:t xml:space="preserve">               sprendimu Nr. T1-</w:t>
      </w:r>
      <w:r w:rsidR="00D060AC">
        <w:rPr>
          <w:color w:val="000000"/>
          <w:spacing w:val="-5"/>
        </w:rPr>
        <w:t>14</w:t>
      </w:r>
    </w:p>
    <w:p w14:paraId="1BCB21A7" w14:textId="77777777" w:rsidR="00CE13E3" w:rsidRDefault="00CE13E3" w:rsidP="009E0C42">
      <w:pPr>
        <w:jc w:val="center"/>
        <w:rPr>
          <w:b/>
        </w:rPr>
      </w:pPr>
    </w:p>
    <w:p w14:paraId="5AD6BCB0" w14:textId="77777777" w:rsidR="00CE13E3" w:rsidRDefault="00CE13E3" w:rsidP="009E0C42">
      <w:pPr>
        <w:jc w:val="center"/>
        <w:rPr>
          <w:b/>
        </w:rPr>
      </w:pPr>
    </w:p>
    <w:p w14:paraId="7B118E8A" w14:textId="77777777" w:rsidR="009E0C42" w:rsidRDefault="00175BD1" w:rsidP="009E0C42">
      <w:pPr>
        <w:jc w:val="center"/>
        <w:rPr>
          <w:b/>
        </w:rPr>
      </w:pPr>
      <w:r w:rsidRPr="00EE4D59">
        <w:rPr>
          <w:b/>
        </w:rPr>
        <w:t xml:space="preserve">LIUDVIKO RĖZOS </w:t>
      </w:r>
      <w:r w:rsidR="005B2403" w:rsidRPr="00EE4D59">
        <w:rPr>
          <w:b/>
        </w:rPr>
        <w:t>KULTŪROS</w:t>
      </w:r>
      <w:r w:rsidRPr="00EE4D59">
        <w:rPr>
          <w:b/>
        </w:rPr>
        <w:t xml:space="preserve"> CENTRO </w:t>
      </w:r>
    </w:p>
    <w:p w14:paraId="6B9645D5" w14:textId="77777777" w:rsidR="00676F1C" w:rsidRDefault="00DE787F" w:rsidP="005B2403">
      <w:pPr>
        <w:jc w:val="center"/>
        <w:rPr>
          <w:b/>
        </w:rPr>
      </w:pPr>
      <w:r>
        <w:rPr>
          <w:b/>
        </w:rPr>
        <w:t>20</w:t>
      </w:r>
      <w:r w:rsidR="00D666D1">
        <w:rPr>
          <w:b/>
        </w:rPr>
        <w:t>20</w:t>
      </w:r>
      <w:r>
        <w:rPr>
          <w:b/>
        </w:rPr>
        <w:t xml:space="preserve"> METŲ VEIKLOS</w:t>
      </w:r>
      <w:r w:rsidR="005B2403" w:rsidRPr="00EE4D59">
        <w:rPr>
          <w:b/>
        </w:rPr>
        <w:t xml:space="preserve"> ATASKAIT</w:t>
      </w:r>
      <w:r w:rsidR="00175BD1" w:rsidRPr="00EE4D59">
        <w:rPr>
          <w:b/>
        </w:rPr>
        <w:t>A</w:t>
      </w:r>
      <w:r w:rsidR="005B2403" w:rsidRPr="00EE4D59">
        <w:rPr>
          <w:b/>
        </w:rPr>
        <w:t xml:space="preserve"> </w:t>
      </w:r>
    </w:p>
    <w:p w14:paraId="7F01E666" w14:textId="77777777" w:rsidR="0003545B" w:rsidRDefault="0003545B" w:rsidP="00AE2B73">
      <w:pPr>
        <w:pStyle w:val="Betarp"/>
        <w:ind w:firstLine="567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06F0D829" w14:textId="77777777" w:rsidR="00F76258" w:rsidRPr="001900A1" w:rsidRDefault="00F76258" w:rsidP="00AE2B73">
      <w:pPr>
        <w:pStyle w:val="Betarp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900A1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1. Liudviko Rėzos </w:t>
      </w:r>
      <w:r w:rsidR="00742C7B">
        <w:rPr>
          <w:rFonts w:ascii="Times New Roman" w:hAnsi="Times New Roman" w:cs="Times New Roman"/>
          <w:b/>
          <w:sz w:val="24"/>
          <w:szCs w:val="24"/>
          <w:lang w:eastAsia="lt-LT"/>
        </w:rPr>
        <w:t>kultūros centro (toliau – Centras</w:t>
      </w:r>
      <w:r w:rsidRPr="001900A1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) vadovo </w:t>
      </w:r>
      <w:r w:rsidRPr="001900A1">
        <w:rPr>
          <w:rFonts w:ascii="Times New Roman" w:hAnsi="Times New Roman" w:cs="Times New Roman"/>
          <w:b/>
          <w:sz w:val="24"/>
          <w:szCs w:val="24"/>
        </w:rPr>
        <w:t>organizacinė veikla:</w:t>
      </w:r>
    </w:p>
    <w:p w14:paraId="60A14F2B" w14:textId="77777777" w:rsidR="005260C5" w:rsidRDefault="001900A1" w:rsidP="00441674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28329B">
        <w:rPr>
          <w:rFonts w:ascii="Times New Roman" w:hAnsi="Times New Roman" w:cs="Times New Roman"/>
          <w:sz w:val="24"/>
          <w:szCs w:val="24"/>
          <w:u w:val="single"/>
          <w:lang w:eastAsia="lt-LT"/>
        </w:rPr>
        <w:t>1.1.</w:t>
      </w:r>
      <w:r w:rsidR="00F76258" w:rsidRPr="0028329B">
        <w:rPr>
          <w:rFonts w:ascii="Times New Roman" w:hAnsi="Times New Roman" w:cs="Times New Roman"/>
          <w:sz w:val="24"/>
          <w:szCs w:val="24"/>
          <w:u w:val="single"/>
          <w:lang w:eastAsia="lt-LT"/>
        </w:rPr>
        <w:t xml:space="preserve"> Centro vidaus administravimas</w:t>
      </w:r>
      <w:r w:rsidRPr="0028329B">
        <w:rPr>
          <w:rFonts w:ascii="Times New Roman" w:hAnsi="Times New Roman" w:cs="Times New Roman"/>
          <w:sz w:val="24"/>
          <w:szCs w:val="24"/>
          <w:u w:val="single"/>
          <w:lang w:eastAsia="lt-LT"/>
        </w:rPr>
        <w:t>.</w:t>
      </w:r>
      <w:r w:rsidR="00DB4833">
        <w:rPr>
          <w:rFonts w:ascii="Times New Roman" w:hAnsi="Times New Roman" w:cs="Times New Roman"/>
          <w:sz w:val="24"/>
          <w:szCs w:val="24"/>
          <w:lang w:eastAsia="lt-LT"/>
        </w:rPr>
        <w:t xml:space="preserve"> Centro organizacinė struktūra</w:t>
      </w:r>
      <w:r w:rsidR="00CE13E3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DB4833">
        <w:rPr>
          <w:rFonts w:ascii="Times New Roman" w:hAnsi="Times New Roman" w:cs="Times New Roman"/>
          <w:sz w:val="24"/>
          <w:szCs w:val="24"/>
          <w:lang w:eastAsia="lt-LT"/>
        </w:rPr>
        <w:t xml:space="preserve"> patvirtinta d</w:t>
      </w:r>
      <w:r w:rsidRPr="001900A1">
        <w:rPr>
          <w:rFonts w:ascii="Times New Roman" w:hAnsi="Times New Roman" w:cs="Times New Roman"/>
          <w:sz w:val="24"/>
          <w:szCs w:val="24"/>
        </w:rPr>
        <w:t>irektoriaus 2015-09-25 įsakymu Nr. V-22</w:t>
      </w:r>
      <w:r w:rsidR="00DB4833">
        <w:rPr>
          <w:rFonts w:ascii="Times New Roman" w:hAnsi="Times New Roman" w:cs="Times New Roman"/>
          <w:sz w:val="24"/>
          <w:szCs w:val="24"/>
        </w:rPr>
        <w:t>.</w:t>
      </w:r>
    </w:p>
    <w:p w14:paraId="27672041" w14:textId="77777777" w:rsidR="006453AA" w:rsidRDefault="006453AA" w:rsidP="0000124E">
      <w:pPr>
        <w:pStyle w:val="Betarp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valdymo struktūra pateikiama schemoje:</w:t>
      </w:r>
    </w:p>
    <w:p w14:paraId="3A4D2C37" w14:textId="77777777" w:rsidR="006453AA" w:rsidRDefault="006453AA" w:rsidP="0000124E">
      <w:pPr>
        <w:pStyle w:val="Betarp"/>
        <w:ind w:firstLine="567"/>
        <w:rPr>
          <w:rFonts w:ascii="Times New Roman" w:hAnsi="Times New Roman" w:cs="Times New Roman"/>
          <w:sz w:val="24"/>
          <w:szCs w:val="24"/>
        </w:rPr>
      </w:pPr>
    </w:p>
    <w:p w14:paraId="3DA60236" w14:textId="77777777" w:rsidR="006453AA" w:rsidRDefault="006453AA" w:rsidP="0000124E">
      <w:pPr>
        <w:pStyle w:val="Betarp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14:paraId="24AFAF5B" w14:textId="77777777" w:rsidR="009015D6" w:rsidRDefault="006453AA" w:rsidP="009B16BF">
      <w:pPr>
        <w:jc w:val="center"/>
      </w:pPr>
      <w:r>
        <w:rPr>
          <w:noProof/>
        </w:rPr>
        <w:drawing>
          <wp:inline distT="0" distB="0" distL="0" distR="0" wp14:anchorId="65F7C173" wp14:editId="6CC54EC9">
            <wp:extent cx="4286992" cy="3114456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151" cy="3206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E6F274" w14:textId="36B1A61E" w:rsidR="00525875" w:rsidRDefault="00742C7B" w:rsidP="00A7044A">
      <w:pPr>
        <w:ind w:firstLine="1296"/>
        <w:jc w:val="both"/>
      </w:pPr>
      <w:r>
        <w:rPr>
          <w:u w:val="single"/>
        </w:rPr>
        <w:t>1.2. Vadovo iniciatyvos.</w:t>
      </w:r>
      <w:r>
        <w:t xml:space="preserve"> </w:t>
      </w:r>
      <w:r w:rsidR="000637BD">
        <w:t xml:space="preserve">Organizavau įstaigos darbą </w:t>
      </w:r>
      <w:r w:rsidR="000637BD" w:rsidRPr="000637BD">
        <w:t>C</w:t>
      </w:r>
      <w:r w:rsidR="00075A22" w:rsidRPr="000637BD">
        <w:t>OVID</w:t>
      </w:r>
      <w:r w:rsidR="000637BD" w:rsidRPr="000637BD">
        <w:t>-19 pandemijos sąlygomis</w:t>
      </w:r>
      <w:r w:rsidR="000637BD">
        <w:t>, p</w:t>
      </w:r>
      <w:r w:rsidR="00A7044A">
        <w:t xml:space="preserve">aruošiau ir patvirtinau: darbuotojų aprūpinimo AAP </w:t>
      </w:r>
      <w:r w:rsidR="00075A22">
        <w:t>COVID</w:t>
      </w:r>
      <w:r w:rsidR="00A7044A">
        <w:t xml:space="preserve">-19 pandemijos metu tvarką, darbų organizavimo įmonėje </w:t>
      </w:r>
      <w:r w:rsidR="00075A22">
        <w:t>COVID</w:t>
      </w:r>
      <w:r w:rsidR="00A7044A">
        <w:t xml:space="preserve">-19 pandemijos metu tvarkos aprašą, darbuotojo, dirbančio </w:t>
      </w:r>
      <w:r w:rsidR="00075A22">
        <w:t>COVID</w:t>
      </w:r>
      <w:r w:rsidR="00A7044A">
        <w:t>-19 pandemijos sąlygomis, saugos ir sveikatos instrukcij</w:t>
      </w:r>
      <w:r w:rsidR="000637BD">
        <w:t xml:space="preserve">ą. Rengiau dokumentus </w:t>
      </w:r>
      <w:r w:rsidR="00011460">
        <w:t xml:space="preserve">apie penkerių metų </w:t>
      </w:r>
      <w:r w:rsidR="000637BD">
        <w:t>Liudviko Rėzos kultūros centro veiklą</w:t>
      </w:r>
      <w:r w:rsidR="00011460">
        <w:t xml:space="preserve"> Geriausio kultūros centro </w:t>
      </w:r>
      <w:r w:rsidR="00011460" w:rsidRPr="00011460">
        <w:t>premijai gauti vertinimo komisija</w:t>
      </w:r>
      <w:r w:rsidR="00011460">
        <w:t xml:space="preserve">i. </w:t>
      </w:r>
      <w:r w:rsidR="009E0C42">
        <w:t>K</w:t>
      </w:r>
      <w:r w:rsidR="00647D1B" w:rsidRPr="00647D1B">
        <w:t xml:space="preserve">oordinavau </w:t>
      </w:r>
      <w:r w:rsidR="00864A3A" w:rsidRPr="00864A3A">
        <w:t>Dainiau</w:t>
      </w:r>
      <w:r w:rsidR="008A2CC0">
        <w:t>s</w:t>
      </w:r>
      <w:r w:rsidR="00864A3A" w:rsidRPr="00864A3A">
        <w:t xml:space="preserve"> Junevičiaus ir Nijolės Strakauskaitės knygos </w:t>
      </w:r>
      <w:r w:rsidR="00864A3A" w:rsidRPr="00864A3A">
        <w:rPr>
          <w:rStyle w:val="Grietas"/>
          <w:b w:val="0"/>
        </w:rPr>
        <w:t xml:space="preserve">„Kuršių nerija anno 1900: Tilžės fotografo Roberto Minzloffo (1855–1930) stereoskopinių fotografijų rinkinys „Die Kurische Nehrung“ </w:t>
      </w:r>
      <w:r w:rsidR="005F7F16" w:rsidRPr="00864A3A">
        <w:t>leidimą</w:t>
      </w:r>
      <w:r w:rsidR="00511D09">
        <w:t xml:space="preserve">; </w:t>
      </w:r>
      <w:r w:rsidR="00DE6E52">
        <w:t>p</w:t>
      </w:r>
      <w:r w:rsidR="00726EE7" w:rsidRPr="00726EE7">
        <w:t xml:space="preserve">arengiau </w:t>
      </w:r>
      <w:r>
        <w:t>20</w:t>
      </w:r>
      <w:r w:rsidR="00F209DF">
        <w:t>2</w:t>
      </w:r>
      <w:r w:rsidR="00864A3A">
        <w:t>1</w:t>
      </w:r>
      <w:r w:rsidRPr="001857DA">
        <w:rPr>
          <w:bCs/>
          <w:lang w:eastAsia="ar-SA"/>
        </w:rPr>
        <w:t>–</w:t>
      </w:r>
      <w:r w:rsidR="007B0091" w:rsidRPr="00726EE7">
        <w:t>202</w:t>
      </w:r>
      <w:r w:rsidR="00864A3A">
        <w:t>3</w:t>
      </w:r>
      <w:r w:rsidR="007B0091" w:rsidRPr="00726EE7">
        <w:t xml:space="preserve"> </w:t>
      </w:r>
      <w:r w:rsidR="00726EE7">
        <w:t xml:space="preserve">metų </w:t>
      </w:r>
      <w:r w:rsidR="007B0091" w:rsidRPr="00726EE7">
        <w:t>strategin</w:t>
      </w:r>
      <w:r w:rsidR="00726EE7" w:rsidRPr="00726EE7">
        <w:t>į</w:t>
      </w:r>
      <w:r w:rsidR="007B0091" w:rsidRPr="00726EE7">
        <w:t xml:space="preserve"> </w:t>
      </w:r>
      <w:r w:rsidR="00DA0868">
        <w:t xml:space="preserve">veiklos </w:t>
      </w:r>
      <w:r w:rsidR="007B0091" w:rsidRPr="00726EE7">
        <w:t>plan</w:t>
      </w:r>
      <w:r>
        <w:t>ą;</w:t>
      </w:r>
      <w:r w:rsidR="007B0091" w:rsidRPr="00726EE7">
        <w:t xml:space="preserve"> </w:t>
      </w:r>
      <w:r w:rsidR="00354ABC">
        <w:t xml:space="preserve">koordinavau </w:t>
      </w:r>
      <w:r w:rsidR="00A90F4A">
        <w:t>Centro</w:t>
      </w:r>
      <w:r w:rsidR="00A90F4A" w:rsidRPr="00146A21">
        <w:t xml:space="preserve"> tarybos darbą ir </w:t>
      </w:r>
      <w:r w:rsidR="00354ABC">
        <w:t xml:space="preserve">inicijavau </w:t>
      </w:r>
      <w:r w:rsidR="00A90F4A" w:rsidRPr="00146A21">
        <w:t>sutarčių su švietimo, kultūros bei nevyriausybinėmis organizacijomis rengimą</w:t>
      </w:r>
      <w:r w:rsidR="00354ABC">
        <w:t>;</w:t>
      </w:r>
      <w:r w:rsidR="00A90F4A">
        <w:t xml:space="preserve"> </w:t>
      </w:r>
      <w:r w:rsidR="001822CC" w:rsidRPr="00354ABC">
        <w:t>organizavau atsiskaitymą banko kortelėmis (vasaros sezono metu);</w:t>
      </w:r>
      <w:r w:rsidR="001822CC" w:rsidRPr="001822CC">
        <w:rPr>
          <w:i/>
        </w:rPr>
        <w:t xml:space="preserve"> </w:t>
      </w:r>
      <w:r w:rsidR="00441674" w:rsidRPr="00441674">
        <w:rPr>
          <w:iCs/>
        </w:rPr>
        <w:t>esu</w:t>
      </w:r>
      <w:r w:rsidR="00441674">
        <w:t xml:space="preserve"> </w:t>
      </w:r>
      <w:r w:rsidR="00441674" w:rsidRPr="000E1176">
        <w:t xml:space="preserve">Kuršių nerijos </w:t>
      </w:r>
      <w:r w:rsidR="00441674">
        <w:t xml:space="preserve">nacionalinio parko </w:t>
      </w:r>
      <w:r w:rsidR="00441674" w:rsidRPr="000E1176">
        <w:t>ambasadorystės</w:t>
      </w:r>
      <w:r w:rsidR="00441674" w:rsidRPr="00F209DF">
        <w:t xml:space="preserve"> </w:t>
      </w:r>
      <w:r w:rsidR="00441674">
        <w:t xml:space="preserve">programos komisijos narė; darbo grupės Neringos–Fehmarno bendradarbiavimo sutarties įgyvendinimui narė; </w:t>
      </w:r>
      <w:r w:rsidR="00354ABC" w:rsidRPr="00354ABC">
        <w:t>rūpinausi pastatų, patalpų ir aplinkos pagerinimu bei materialiojo turto įsigijimu</w:t>
      </w:r>
      <w:r w:rsidR="00354ABC">
        <w:t>.</w:t>
      </w:r>
    </w:p>
    <w:p w14:paraId="70F00F0D" w14:textId="77777777" w:rsidR="004F7CC0" w:rsidRDefault="004F7CC0" w:rsidP="0000124E">
      <w:pPr>
        <w:ind w:left="720"/>
        <w:jc w:val="both"/>
      </w:pPr>
    </w:p>
    <w:p w14:paraId="447E476E" w14:textId="01E31891" w:rsidR="00293E17" w:rsidRPr="000F2BE8" w:rsidRDefault="004F7CC0" w:rsidP="00D666D1">
      <w:pPr>
        <w:ind w:firstLine="1296"/>
        <w:jc w:val="both"/>
      </w:pPr>
      <w:r w:rsidRPr="00742C7B">
        <w:rPr>
          <w:u w:val="single"/>
        </w:rPr>
        <w:t>1.3. Asmeninis tobulėjimas</w:t>
      </w:r>
      <w:r w:rsidR="00293E17" w:rsidRPr="00D666D1">
        <w:t>:</w:t>
      </w:r>
      <w:r w:rsidR="00D666D1" w:rsidRPr="00D666D1">
        <w:t xml:space="preserve"> sausio 12</w:t>
      </w:r>
      <w:r w:rsidR="00D666D1">
        <w:t>–</w:t>
      </w:r>
      <w:r w:rsidR="00D666D1" w:rsidRPr="00D666D1">
        <w:t>18 d. dalyvavau projekto „Erasmus+“ kursuose „Securing EU Funding for 2014 – 2020: The Key to Success“, kurie vyko DOREA švietimo įstaigoje, esančioje</w:t>
      </w:r>
      <w:r w:rsidR="00D666D1">
        <w:t xml:space="preserve"> Limasolyje, Kipro Respublikoje,</w:t>
      </w:r>
      <w:r w:rsidR="00D666D1" w:rsidRPr="00D666D1">
        <w:t xml:space="preserve"> </w:t>
      </w:r>
      <w:r w:rsidR="00D666D1">
        <w:t>t</w:t>
      </w:r>
      <w:r w:rsidR="00D666D1" w:rsidRPr="00D666D1">
        <w:t>rukmė 25 akad. val.</w:t>
      </w:r>
      <w:r w:rsidR="00D666D1">
        <w:t xml:space="preserve"> B</w:t>
      </w:r>
      <w:r w:rsidR="00D666D1" w:rsidRPr="00D666D1">
        <w:t xml:space="preserve">alandžio 21 d. – gegužės 15 d. dalyvavau nuotoliniuose kvalifikacijos </w:t>
      </w:r>
      <w:r w:rsidR="008A2CC0">
        <w:t xml:space="preserve">kėlimo </w:t>
      </w:r>
      <w:r w:rsidR="00D666D1" w:rsidRPr="00D666D1">
        <w:t xml:space="preserve">kursuose kultūros centrų vadovams ir išklausiau kursus temomis: „Kūrybinės komunikacijos strategijos“ (32 akad. val.), </w:t>
      </w:r>
      <w:r w:rsidR="00D666D1" w:rsidRPr="00D666D1">
        <w:lastRenderedPageBreak/>
        <w:t>„Inovacijų kūrimas ir valdymas kultūrinėse organizacijose“ (8 akad. val.)</w:t>
      </w:r>
      <w:r w:rsidR="00D666D1">
        <w:t>,</w:t>
      </w:r>
      <w:r w:rsidR="00D666D1" w:rsidRPr="00D666D1">
        <w:t xml:space="preserve"> </w:t>
      </w:r>
      <w:r w:rsidR="00D666D1">
        <w:t>i</w:t>
      </w:r>
      <w:r w:rsidR="00D666D1" w:rsidRPr="00D666D1">
        <w:t xml:space="preserve">š viso 40 akad. val. Kursus organizavo Lietuvos nacionalinis kultūros centras ir Vilniau Gedimino technikos universitetas, </w:t>
      </w:r>
      <w:r w:rsidR="00D666D1">
        <w:t>kūrybinių industrijų fakultetas</w:t>
      </w:r>
      <w:r w:rsidR="00D666D1" w:rsidRPr="00D666D1">
        <w:t>.</w:t>
      </w:r>
      <w:r w:rsidR="000F2BE8">
        <w:t xml:space="preserve"> </w:t>
      </w:r>
      <w:r w:rsidR="00D666D1" w:rsidRPr="000F2BE8">
        <w:t>Rugsėjo 17–18 d. dalyvavau seminare kultūros kelio projekto</w:t>
      </w:r>
      <w:r w:rsidR="00D666D1" w:rsidRPr="00D666D1">
        <w:rPr>
          <w:u w:val="single"/>
        </w:rPr>
        <w:t xml:space="preserve"> </w:t>
      </w:r>
      <w:r w:rsidR="00D666D1" w:rsidRPr="000F2BE8">
        <w:t>„Vėtrungių kelias“, kaip kultūrinių paslaugų komplekso, pardavimo strategija ir taktika, kurį organizavo Šilutės kultūros ir pramogų centras. Išklausyti 16 akad</w:t>
      </w:r>
      <w:r w:rsidR="00040CA9">
        <w:t>.</w:t>
      </w:r>
      <w:r w:rsidR="00D666D1" w:rsidRPr="000F2BE8">
        <w:t xml:space="preserve"> </w:t>
      </w:r>
      <w:r w:rsidR="00040CA9">
        <w:t>v</w:t>
      </w:r>
      <w:r w:rsidR="00D666D1" w:rsidRPr="000F2BE8">
        <w:t>al</w:t>
      </w:r>
      <w:r w:rsidR="00040CA9">
        <w:t>.</w:t>
      </w:r>
      <w:r w:rsidR="00D666D1" w:rsidRPr="000F2BE8">
        <w:t xml:space="preserve"> mokymai.</w:t>
      </w:r>
      <w:r w:rsidR="000F2BE8">
        <w:t xml:space="preserve"> </w:t>
      </w:r>
      <w:r w:rsidR="00D666D1" w:rsidRPr="000F2BE8">
        <w:t>Lapkričio 9</w:t>
      </w:r>
      <w:r w:rsidR="000F2BE8">
        <w:t>–</w:t>
      </w:r>
      <w:r w:rsidR="00D666D1" w:rsidRPr="000F2BE8">
        <w:t>30</w:t>
      </w:r>
      <w:r w:rsidR="008A2CC0">
        <w:t> </w:t>
      </w:r>
      <w:r w:rsidR="00D666D1" w:rsidRPr="000F2BE8">
        <w:t>d. dalyvavau nuotoliniuose kvalifikacijos tobulinimo kursuose kultūros centrų vadovams ir išklausiau 37 akad</w:t>
      </w:r>
      <w:r w:rsidR="000F2BE8">
        <w:t>.</w:t>
      </w:r>
      <w:r w:rsidR="00D666D1" w:rsidRPr="000F2BE8">
        <w:t xml:space="preserve"> </w:t>
      </w:r>
      <w:r w:rsidR="000F2BE8">
        <w:t>v</w:t>
      </w:r>
      <w:r w:rsidR="00D666D1" w:rsidRPr="000F2BE8">
        <w:t>al</w:t>
      </w:r>
      <w:r w:rsidR="000F2BE8">
        <w:t>.</w:t>
      </w:r>
      <w:r w:rsidR="00D666D1" w:rsidRPr="000F2BE8">
        <w:t xml:space="preserve"> paskaitų bei pratybų kursą, kurį organizavo Lietuvos nacionalinis kultūros centras. </w:t>
      </w:r>
    </w:p>
    <w:p w14:paraId="3B87327C" w14:textId="77777777" w:rsidR="00AC6FF6" w:rsidRDefault="00AC6FF6" w:rsidP="00293E17">
      <w:pPr>
        <w:ind w:firstLine="1276"/>
        <w:jc w:val="both"/>
      </w:pPr>
    </w:p>
    <w:p w14:paraId="4CA88BA0" w14:textId="1C78F42B" w:rsidR="00FF1538" w:rsidRDefault="00AC6FF6" w:rsidP="00EB517E">
      <w:pPr>
        <w:ind w:firstLine="1350"/>
        <w:jc w:val="both"/>
      </w:pPr>
      <w:r w:rsidRPr="00742C7B">
        <w:rPr>
          <w:u w:val="single"/>
        </w:rPr>
        <w:t>1.4. Projektinė veikla</w:t>
      </w:r>
      <w:r w:rsidR="008C5795" w:rsidRPr="00742C7B">
        <w:rPr>
          <w:u w:val="single"/>
        </w:rPr>
        <w:t>.</w:t>
      </w:r>
      <w:r w:rsidR="008C5795" w:rsidRPr="00742C7B">
        <w:t xml:space="preserve"> </w:t>
      </w:r>
      <w:r w:rsidR="000F2BE8">
        <w:t xml:space="preserve">Rengiau </w:t>
      </w:r>
      <w:r w:rsidR="000F2BE8">
        <w:rPr>
          <w:shd w:val="clear" w:color="auto" w:fill="FFFFFF"/>
        </w:rPr>
        <w:t>projektinę</w:t>
      </w:r>
      <w:r w:rsidR="000F2BE8" w:rsidRPr="00851153">
        <w:rPr>
          <w:shd w:val="clear" w:color="auto" w:fill="FFFFFF"/>
        </w:rPr>
        <w:t xml:space="preserve"> paraišk</w:t>
      </w:r>
      <w:r w:rsidR="000F2BE8">
        <w:rPr>
          <w:shd w:val="clear" w:color="auto" w:fill="FFFFFF"/>
        </w:rPr>
        <w:t>ą</w:t>
      </w:r>
      <w:r w:rsidR="000F2BE8" w:rsidRPr="00851153">
        <w:rPr>
          <w:shd w:val="clear" w:color="auto" w:fill="FFFFFF"/>
        </w:rPr>
        <w:t xml:space="preserve"> </w:t>
      </w:r>
      <w:r w:rsidR="000F2BE8">
        <w:rPr>
          <w:shd w:val="clear" w:color="auto" w:fill="FFFFFF"/>
        </w:rPr>
        <w:t xml:space="preserve">„Rėzos efektas“ </w:t>
      </w:r>
      <w:r w:rsidR="000F2BE8" w:rsidRPr="00851153">
        <w:rPr>
          <w:shd w:val="clear" w:color="auto" w:fill="FFFFFF"/>
        </w:rPr>
        <w:t xml:space="preserve">paramai gauti pagal 2014–2021 m. Europos ekonominės erdvės finansinio mechanizmo </w:t>
      </w:r>
      <w:r w:rsidR="008A2CC0">
        <w:rPr>
          <w:shd w:val="clear" w:color="auto" w:fill="FFFFFF"/>
        </w:rPr>
        <w:t>p</w:t>
      </w:r>
      <w:r w:rsidR="000F2BE8" w:rsidRPr="00851153">
        <w:rPr>
          <w:shd w:val="clear" w:color="auto" w:fill="FFFFFF"/>
        </w:rPr>
        <w:t>rogramos „Kultūra“ kvietimą</w:t>
      </w:r>
      <w:r w:rsidR="000F2BE8" w:rsidRPr="000F2BE8">
        <w:t xml:space="preserve"> </w:t>
      </w:r>
      <w:r w:rsidR="000F2BE8" w:rsidRPr="000F2BE8">
        <w:rPr>
          <w:shd w:val="clear" w:color="auto" w:fill="FFFFFF"/>
        </w:rPr>
        <w:t>„Kultūros prieinamumo plėtojimas ir kultūrinio švietimo stiprinimas“</w:t>
      </w:r>
      <w:r w:rsidR="000F2BE8">
        <w:rPr>
          <w:shd w:val="clear" w:color="auto" w:fill="FFFFFF"/>
        </w:rPr>
        <w:t>; projektinę paraišką „Liudviko Rėzos kultūros centro istorinės ekspozicijos atnaujinimas“</w:t>
      </w:r>
      <w:r w:rsidR="000F2BE8" w:rsidRPr="00C35ED6">
        <w:rPr>
          <w:shd w:val="clear" w:color="auto" w:fill="FFFFFF"/>
        </w:rPr>
        <w:t xml:space="preserve"> paramai gauti pagal </w:t>
      </w:r>
      <w:r w:rsidR="000F2BE8">
        <w:t>Žvejybos ir akvakultūros vietos projektų, įgyvendinamų pagal Lietuvos žuvininkystės sektoriaus 2014–2020 metų veiksmų programos</w:t>
      </w:r>
      <w:r w:rsidR="00EB517E">
        <w:t xml:space="preserve"> </w:t>
      </w:r>
      <w:r w:rsidR="000F2BE8">
        <w:t xml:space="preserve">priemonę „Vietos plėtros strategijų įgyvendinimas“; </w:t>
      </w:r>
      <w:r w:rsidR="008A2CC0">
        <w:t>r</w:t>
      </w:r>
      <w:r w:rsidR="004133F7" w:rsidRPr="00FF1538">
        <w:t>engiau paraiškas</w:t>
      </w:r>
      <w:r w:rsidR="001822CC" w:rsidRPr="00FF1538">
        <w:t xml:space="preserve"> </w:t>
      </w:r>
      <w:r w:rsidR="004E23E9" w:rsidRPr="00FF1538">
        <w:t>Lietuvos kultūros tarybai</w:t>
      </w:r>
      <w:r w:rsidR="00FF1538" w:rsidRPr="00FF1538">
        <w:t>:</w:t>
      </w:r>
      <w:r w:rsidR="00742C7B" w:rsidRPr="00FF1538">
        <w:t xml:space="preserve"> Folkloro šventė „Pūsk, vėjuži!“</w:t>
      </w:r>
      <w:r w:rsidR="001822CC" w:rsidRPr="00FF1538">
        <w:t>;</w:t>
      </w:r>
      <w:r w:rsidR="00DE6E52" w:rsidRPr="00FF1538">
        <w:t xml:space="preserve"> </w:t>
      </w:r>
      <w:r w:rsidR="00CC1FA4" w:rsidRPr="00FF1538">
        <w:t xml:space="preserve">„Kails!“: Prūsų (Mažosios) Lietuvos kultūra ir istorija; </w:t>
      </w:r>
      <w:r w:rsidR="00FF1538" w:rsidRPr="00FF1538">
        <w:rPr>
          <w:rFonts w:eastAsiaTheme="minorHAnsi"/>
          <w:lang w:eastAsia="en-US"/>
        </w:rPr>
        <w:t xml:space="preserve">Juodkrantės kurorto dienos; </w:t>
      </w:r>
      <w:r w:rsidR="00EB517E">
        <w:rPr>
          <w:rFonts w:eastAsiaTheme="minorHAnsi"/>
          <w:lang w:eastAsia="en-US"/>
        </w:rPr>
        <w:t>tarptautinis vaikų ir jaunimo konkursas festivalis „Baltic voice“.</w:t>
      </w:r>
    </w:p>
    <w:p w14:paraId="79014506" w14:textId="77777777" w:rsidR="00FF1538" w:rsidRPr="00FF1538" w:rsidRDefault="00FF1538" w:rsidP="00FF1538">
      <w:pPr>
        <w:tabs>
          <w:tab w:val="num" w:pos="3090"/>
        </w:tabs>
        <w:ind w:firstLine="1276"/>
        <w:jc w:val="both"/>
      </w:pPr>
    </w:p>
    <w:p w14:paraId="40C1F775" w14:textId="64F20BC9" w:rsidR="00DE1D49" w:rsidRDefault="008C5795" w:rsidP="0091174D">
      <w:pPr>
        <w:pStyle w:val="Antrat2"/>
        <w:shd w:val="clear" w:color="auto" w:fill="FFFFFF"/>
        <w:spacing w:before="0" w:after="225"/>
        <w:ind w:firstLine="1276"/>
        <w:jc w:val="both"/>
        <w:textAlignment w:val="baseline"/>
        <w:rPr>
          <w:u w:val="single"/>
        </w:rPr>
      </w:pPr>
      <w:r w:rsidRPr="00783D38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1.5. B</w:t>
      </w:r>
      <w:r w:rsidR="00AC6FF6" w:rsidRPr="00783D38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endradarbiavimas</w:t>
      </w:r>
      <w:r w:rsidRPr="00783D38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.</w:t>
      </w:r>
      <w:r w:rsidRPr="00783D3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E1D49" w:rsidRPr="0091174D"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 w:rsidR="00920A67" w:rsidRPr="0091174D">
        <w:rPr>
          <w:rFonts w:ascii="Times New Roman" w:eastAsia="Times New Roman" w:hAnsi="Times New Roman" w:cs="Times New Roman"/>
          <w:color w:val="auto"/>
          <w:sz w:val="24"/>
          <w:szCs w:val="24"/>
        </w:rPr>
        <w:t>asirašyt</w:t>
      </w:r>
      <w:r w:rsidR="008A2CC0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="00920A67" w:rsidRPr="0091174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1174D"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  <w:r w:rsidR="00AE2B73" w:rsidRPr="0091174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20A67" w:rsidRPr="0091174D">
        <w:rPr>
          <w:rFonts w:ascii="Times New Roman" w:eastAsia="Times New Roman" w:hAnsi="Times New Roman" w:cs="Times New Roman"/>
          <w:color w:val="auto"/>
          <w:sz w:val="24"/>
          <w:szCs w:val="24"/>
        </w:rPr>
        <w:t>bendradarbiavimo suta</w:t>
      </w:r>
      <w:r w:rsidR="008A2CC0">
        <w:rPr>
          <w:rFonts w:ascii="Times New Roman" w:eastAsia="Times New Roman" w:hAnsi="Times New Roman" w:cs="Times New Roman"/>
          <w:color w:val="auto"/>
          <w:sz w:val="24"/>
          <w:szCs w:val="24"/>
        </w:rPr>
        <w:t>rčių</w:t>
      </w:r>
      <w:r w:rsidR="00770E94" w:rsidRPr="0091174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su: </w:t>
      </w:r>
      <w:r w:rsidR="00A0047D" w:rsidRPr="0091174D">
        <w:rPr>
          <w:rFonts w:ascii="Times New Roman" w:eastAsia="Times New Roman" w:hAnsi="Times New Roman" w:cs="Times New Roman"/>
          <w:color w:val="auto"/>
          <w:sz w:val="24"/>
          <w:szCs w:val="24"/>
        </w:rPr>
        <w:t>Asociacija</w:t>
      </w:r>
      <w:r w:rsidR="0091174D" w:rsidRPr="0091174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„Aukštaičių kultūros draugija“;</w:t>
      </w:r>
      <w:r w:rsidR="00793B8B" w:rsidRPr="0091174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0047D" w:rsidRPr="0091174D">
        <w:rPr>
          <w:rFonts w:ascii="Times New Roman" w:hAnsi="Times New Roman" w:cs="Times New Roman"/>
          <w:color w:val="auto"/>
          <w:sz w:val="24"/>
          <w:szCs w:val="24"/>
        </w:rPr>
        <w:t>Tradicinių ir istorinių laivų asociacija</w:t>
      </w:r>
      <w:r w:rsidR="0091174D" w:rsidRPr="0091174D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A0047D" w:rsidRPr="009117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047D" w:rsidRPr="0091174D">
        <w:rPr>
          <w:rFonts w:ascii="Times New Roman" w:eastAsia="Times New Roman" w:hAnsi="Times New Roman" w:cs="Times New Roman"/>
          <w:color w:val="auto"/>
          <w:sz w:val="24"/>
          <w:szCs w:val="24"/>
        </w:rPr>
        <w:t>Kaliningra</w:t>
      </w:r>
      <w:r w:rsidR="0091174D" w:rsidRPr="0091174D">
        <w:rPr>
          <w:rFonts w:ascii="Times New Roman" w:eastAsia="Times New Roman" w:hAnsi="Times New Roman" w:cs="Times New Roman"/>
          <w:color w:val="auto"/>
          <w:sz w:val="24"/>
          <w:szCs w:val="24"/>
        </w:rPr>
        <w:t>do srities lietuvių bendruomene</w:t>
      </w:r>
      <w:r w:rsidR="00A0047D" w:rsidRPr="0091174D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="00793B8B" w:rsidRPr="0091174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0047D" w:rsidRPr="0091174D">
        <w:rPr>
          <w:rFonts w:ascii="Times New Roman" w:hAnsi="Times New Roman" w:cs="Times New Roman"/>
          <w:color w:val="auto"/>
          <w:sz w:val="24"/>
          <w:szCs w:val="24"/>
        </w:rPr>
        <w:t>Mažeikių rajon</w:t>
      </w:r>
      <w:r w:rsidR="0091174D" w:rsidRPr="0091174D">
        <w:rPr>
          <w:rFonts w:ascii="Times New Roman" w:hAnsi="Times New Roman" w:cs="Times New Roman"/>
          <w:color w:val="auto"/>
          <w:sz w:val="24"/>
          <w:szCs w:val="24"/>
        </w:rPr>
        <w:t>o savivaldybės kultūros centru</w:t>
      </w:r>
      <w:r w:rsidR="00B92A34" w:rsidRPr="0091174D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793B8B" w:rsidRPr="009117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92A34" w:rsidRPr="0091174D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91174D" w:rsidRPr="0091174D">
        <w:rPr>
          <w:rFonts w:ascii="Times New Roman" w:hAnsi="Times New Roman" w:cs="Times New Roman"/>
          <w:color w:val="auto"/>
          <w:sz w:val="24"/>
          <w:szCs w:val="24"/>
        </w:rPr>
        <w:t>sociacija „Lituanistų sambūris“;</w:t>
      </w:r>
      <w:r w:rsidR="00793B8B" w:rsidRPr="009117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92A34" w:rsidRPr="0091174D">
        <w:rPr>
          <w:rFonts w:ascii="Times New Roman" w:hAnsi="Times New Roman" w:cs="Times New Roman"/>
          <w:color w:val="auto"/>
          <w:sz w:val="24"/>
          <w:szCs w:val="24"/>
        </w:rPr>
        <w:t>Salos etno</w:t>
      </w:r>
      <w:r w:rsidR="0091174D" w:rsidRPr="0091174D">
        <w:rPr>
          <w:rFonts w:ascii="Times New Roman" w:hAnsi="Times New Roman" w:cs="Times New Roman"/>
          <w:color w:val="auto"/>
          <w:sz w:val="24"/>
          <w:szCs w:val="24"/>
        </w:rPr>
        <w:t>kultūros ir informacijos centru;</w:t>
      </w:r>
      <w:r w:rsidR="00793B8B" w:rsidRPr="009117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061F9" w:rsidRPr="0091174D">
        <w:rPr>
          <w:rFonts w:ascii="Times New Roman" w:hAnsi="Times New Roman" w:cs="Times New Roman"/>
          <w:color w:val="auto"/>
          <w:sz w:val="24"/>
          <w:szCs w:val="24"/>
        </w:rPr>
        <w:t>Klaipėdos kultūrų ir komunikacijų centru;</w:t>
      </w:r>
      <w:r w:rsidR="00793B8B" w:rsidRPr="009117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A2CC0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91174D" w:rsidRPr="0091174D">
        <w:rPr>
          <w:rFonts w:ascii="Times New Roman" w:hAnsi="Times New Roman" w:cs="Times New Roman"/>
          <w:color w:val="auto"/>
          <w:sz w:val="24"/>
          <w:szCs w:val="24"/>
        </w:rPr>
        <w:t>sociacija „Vidmarės“;</w:t>
      </w:r>
      <w:r w:rsidR="00793B8B" w:rsidRPr="009117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061F9" w:rsidRPr="0091174D">
        <w:rPr>
          <w:rFonts w:ascii="Times New Roman" w:hAnsi="Times New Roman" w:cs="Times New Roman"/>
          <w:color w:val="auto"/>
          <w:sz w:val="24"/>
          <w:szCs w:val="24"/>
        </w:rPr>
        <w:t>Lietuvių literatūros ir tautosakos institutu;</w:t>
      </w:r>
      <w:r w:rsidR="00793B8B" w:rsidRPr="009117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061F9" w:rsidRPr="0091174D">
        <w:rPr>
          <w:rFonts w:ascii="Times New Roman" w:hAnsi="Times New Roman" w:cs="Times New Roman"/>
          <w:color w:val="auto"/>
          <w:sz w:val="24"/>
          <w:szCs w:val="24"/>
        </w:rPr>
        <w:t>Kazimiero Simonavičiaus universitetu</w:t>
      </w:r>
      <w:r w:rsidR="0091174D" w:rsidRPr="0091174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83D38" w:rsidRPr="0091174D">
        <w:rPr>
          <w:rFonts w:ascii="Times New Roman" w:hAnsi="Times New Roman" w:cs="Times New Roman"/>
          <w:color w:val="auto"/>
          <w:sz w:val="24"/>
          <w:szCs w:val="24"/>
        </w:rPr>
        <w:t xml:space="preserve">Nuolat </w:t>
      </w:r>
      <w:r w:rsidR="00134E04" w:rsidRPr="0091174D">
        <w:rPr>
          <w:rFonts w:ascii="Times New Roman" w:hAnsi="Times New Roman" w:cs="Times New Roman"/>
          <w:color w:val="auto"/>
          <w:sz w:val="24"/>
          <w:szCs w:val="24"/>
        </w:rPr>
        <w:t>bendradarbiaujame su asociacija Juodkrantės bendruomen</w:t>
      </w:r>
      <w:r w:rsidR="00783D38" w:rsidRPr="0091174D">
        <w:rPr>
          <w:rFonts w:ascii="Times New Roman" w:hAnsi="Times New Roman" w:cs="Times New Roman"/>
          <w:color w:val="auto"/>
          <w:sz w:val="24"/>
          <w:szCs w:val="24"/>
        </w:rPr>
        <w:t>ė</w:t>
      </w:r>
      <w:r w:rsidR="008A2CC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34E04" w:rsidRPr="009117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0E94" w:rsidRPr="0091174D">
        <w:rPr>
          <w:rFonts w:ascii="Times New Roman" w:hAnsi="Times New Roman" w:cs="Times New Roman"/>
          <w:color w:val="auto"/>
          <w:sz w:val="24"/>
          <w:szCs w:val="24"/>
        </w:rPr>
        <w:t>Kuršių nerijos nacionaliniu parku</w:t>
      </w:r>
      <w:r w:rsidR="008A2CC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70E94" w:rsidRPr="009117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4E04" w:rsidRPr="0091174D">
        <w:rPr>
          <w:rFonts w:ascii="Times New Roman" w:hAnsi="Times New Roman" w:cs="Times New Roman"/>
          <w:color w:val="auto"/>
          <w:sz w:val="24"/>
          <w:szCs w:val="24"/>
        </w:rPr>
        <w:t>Neringos gimnazija</w:t>
      </w:r>
      <w:r w:rsidR="008A2CC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34E04" w:rsidRPr="0091174D">
        <w:rPr>
          <w:rFonts w:ascii="Times New Roman" w:hAnsi="Times New Roman" w:cs="Times New Roman"/>
          <w:color w:val="auto"/>
          <w:sz w:val="24"/>
          <w:szCs w:val="24"/>
        </w:rPr>
        <w:t xml:space="preserve"> Nidos kultūros ir turizmo informacijos centru</w:t>
      </w:r>
      <w:r w:rsidR="00754D93" w:rsidRPr="0091174D">
        <w:rPr>
          <w:rFonts w:ascii="Times New Roman" w:hAnsi="Times New Roman" w:cs="Times New Roman"/>
          <w:color w:val="auto"/>
          <w:sz w:val="24"/>
          <w:szCs w:val="24"/>
        </w:rPr>
        <w:t xml:space="preserve"> „Agila“</w:t>
      </w:r>
      <w:r w:rsidR="008A2CC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34E04" w:rsidRPr="0091174D">
        <w:rPr>
          <w:rFonts w:ascii="Times New Roman" w:hAnsi="Times New Roman" w:cs="Times New Roman"/>
          <w:color w:val="auto"/>
          <w:sz w:val="24"/>
          <w:szCs w:val="24"/>
        </w:rPr>
        <w:t xml:space="preserve"> N</w:t>
      </w:r>
      <w:r w:rsidR="008A2CC0">
        <w:rPr>
          <w:rFonts w:ascii="Times New Roman" w:hAnsi="Times New Roman" w:cs="Times New Roman"/>
          <w:color w:val="auto"/>
          <w:sz w:val="24"/>
          <w:szCs w:val="24"/>
        </w:rPr>
        <w:t>eringos</w:t>
      </w:r>
      <w:r w:rsidR="00134E04" w:rsidRPr="0091174D">
        <w:rPr>
          <w:rFonts w:ascii="Times New Roman" w:hAnsi="Times New Roman" w:cs="Times New Roman"/>
          <w:color w:val="auto"/>
          <w:sz w:val="24"/>
          <w:szCs w:val="24"/>
        </w:rPr>
        <w:t xml:space="preserve"> meno mokykla</w:t>
      </w:r>
      <w:r w:rsidR="008A2CC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83D38" w:rsidRPr="0091174D">
        <w:rPr>
          <w:rFonts w:ascii="Times New Roman" w:hAnsi="Times New Roman" w:cs="Times New Roman"/>
          <w:color w:val="auto"/>
          <w:sz w:val="24"/>
          <w:szCs w:val="24"/>
        </w:rPr>
        <w:t xml:space="preserve"> Neringos savivaldybės Viktoro Miliūno viešąja biblioteka</w:t>
      </w:r>
      <w:r w:rsidR="008A2CC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83D38" w:rsidRPr="009117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4E04" w:rsidRPr="0091174D">
        <w:rPr>
          <w:rFonts w:ascii="Times New Roman" w:hAnsi="Times New Roman" w:cs="Times New Roman"/>
          <w:color w:val="auto"/>
          <w:sz w:val="24"/>
          <w:szCs w:val="24"/>
        </w:rPr>
        <w:t>Neringos muziejai</w:t>
      </w:r>
      <w:r w:rsidR="008A2CC0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793B8B" w:rsidRPr="0091174D">
        <w:rPr>
          <w:rFonts w:ascii="Times New Roman" w:hAnsi="Times New Roman" w:cs="Times New Roman"/>
          <w:color w:val="auto"/>
          <w:sz w:val="24"/>
          <w:szCs w:val="24"/>
        </w:rPr>
        <w:t>, Neringos sporto mokykla.</w:t>
      </w:r>
      <w:r w:rsidR="00920A67" w:rsidRPr="00742C7B">
        <w:t xml:space="preserve"> </w:t>
      </w:r>
    </w:p>
    <w:p w14:paraId="6C3F1C24" w14:textId="77777777" w:rsidR="00C503C3" w:rsidRDefault="003B145C" w:rsidP="009B16BF">
      <w:pPr>
        <w:tabs>
          <w:tab w:val="num" w:pos="3090"/>
        </w:tabs>
        <w:ind w:firstLine="567"/>
        <w:jc w:val="both"/>
      </w:pPr>
      <w:r w:rsidRPr="003B145C">
        <w:t xml:space="preserve">            </w:t>
      </w:r>
      <w:r w:rsidR="00F672C4" w:rsidRPr="00F672C4">
        <w:rPr>
          <w:u w:val="single"/>
        </w:rPr>
        <w:t xml:space="preserve">1.6. </w:t>
      </w:r>
      <w:r w:rsidR="00F672C4">
        <w:rPr>
          <w:u w:val="single"/>
        </w:rPr>
        <w:t>A</w:t>
      </w:r>
      <w:r w:rsidR="00742C7B">
        <w:rPr>
          <w:u w:val="single"/>
        </w:rPr>
        <w:t>tlikti auditai ir (ar) patikrinimai</w:t>
      </w:r>
      <w:r w:rsidR="004566D5">
        <w:rPr>
          <w:u w:val="single"/>
        </w:rPr>
        <w:t>.</w:t>
      </w:r>
      <w:r w:rsidR="00F672C4" w:rsidRPr="00F672C4">
        <w:rPr>
          <w:u w:val="single"/>
        </w:rPr>
        <w:t xml:space="preserve"> </w:t>
      </w:r>
      <w:r w:rsidR="00DE1D49" w:rsidRPr="004566D5">
        <w:t>20</w:t>
      </w:r>
      <w:r w:rsidR="00EB517E">
        <w:t>20</w:t>
      </w:r>
      <w:r w:rsidR="00DE1D49" w:rsidRPr="004566D5">
        <w:t xml:space="preserve"> m.</w:t>
      </w:r>
      <w:r w:rsidR="004566D5">
        <w:t xml:space="preserve"> auditų ir (ar) patikrinimų</w:t>
      </w:r>
      <w:r w:rsidRPr="004566D5">
        <w:t xml:space="preserve"> </w:t>
      </w:r>
      <w:r w:rsidR="004566D5">
        <w:t>n</w:t>
      </w:r>
      <w:r w:rsidRPr="004566D5">
        <w:t>e</w:t>
      </w:r>
      <w:r w:rsidR="00C503C3" w:rsidRPr="004566D5">
        <w:t>buvo</w:t>
      </w:r>
      <w:r w:rsidR="004566D5">
        <w:t>.</w:t>
      </w:r>
    </w:p>
    <w:p w14:paraId="4C278CB6" w14:textId="77777777" w:rsidR="00DE1D49" w:rsidRDefault="00DE1D49" w:rsidP="00F672C4">
      <w:pPr>
        <w:tabs>
          <w:tab w:val="num" w:pos="3090"/>
        </w:tabs>
        <w:ind w:left="567"/>
        <w:jc w:val="both"/>
        <w:rPr>
          <w:u w:val="single"/>
        </w:rPr>
      </w:pPr>
    </w:p>
    <w:p w14:paraId="244DF0DE" w14:textId="77777777" w:rsidR="00525875" w:rsidRDefault="00742C7B" w:rsidP="009B16BF">
      <w:pPr>
        <w:pStyle w:val="Standard"/>
        <w:ind w:firstLine="1276"/>
        <w:jc w:val="both"/>
        <w:rPr>
          <w:rFonts w:eastAsia="Times New Roman" w:cs="Times New Roman"/>
          <w:u w:val="single"/>
          <w:lang w:val="lt-LT" w:eastAsia="lt-LT"/>
        </w:rPr>
      </w:pPr>
      <w:r w:rsidRPr="00783D38">
        <w:rPr>
          <w:rFonts w:eastAsia="Times New Roman" w:cs="Times New Roman"/>
          <w:u w:val="single"/>
          <w:lang w:val="lt-LT" w:eastAsia="lt-LT"/>
        </w:rPr>
        <w:t>1.7. N</w:t>
      </w:r>
      <w:r w:rsidR="00DE1D49" w:rsidRPr="00783D38">
        <w:rPr>
          <w:rFonts w:eastAsia="Times New Roman" w:cs="Times New Roman"/>
          <w:u w:val="single"/>
          <w:lang w:val="lt-LT" w:eastAsia="lt-LT"/>
        </w:rPr>
        <w:t>umatomi planai ir prognozės:</w:t>
      </w:r>
      <w:r w:rsidR="00DE6E52" w:rsidRPr="00783D38">
        <w:rPr>
          <w:rFonts w:eastAsia="Times New Roman" w:cs="Times New Roman"/>
          <w:u w:val="single"/>
          <w:lang w:val="lt-LT" w:eastAsia="lt-LT"/>
        </w:rPr>
        <w:t xml:space="preserve"> </w:t>
      </w:r>
    </w:p>
    <w:p w14:paraId="5D1E4AD1" w14:textId="632932DB" w:rsidR="002D14A3" w:rsidRPr="00107327" w:rsidRDefault="00FA3E0B" w:rsidP="009022ED">
      <w:pPr>
        <w:autoSpaceDE w:val="0"/>
        <w:autoSpaceDN w:val="0"/>
        <w:adjustRightInd w:val="0"/>
        <w:jc w:val="both"/>
        <w:rPr>
          <w:color w:val="FF0000"/>
        </w:rPr>
      </w:pPr>
      <w:r>
        <w:tab/>
      </w:r>
      <w:r w:rsidRPr="00FA3E0B">
        <w:t xml:space="preserve">Numatoma </w:t>
      </w:r>
      <w:r w:rsidR="007D13A3" w:rsidRPr="00FA3E0B">
        <w:t>toliau puoselėti Mažosios Lietuvos etninės kultūros tradicijas; dar labiau sustiprinti Liudviko Rėzos kultūros centro vaidmenį šioje srityje;</w:t>
      </w:r>
      <w:r w:rsidRPr="00FA3E0B">
        <w:t xml:space="preserve"> </w:t>
      </w:r>
      <w:r w:rsidR="007D13A3" w:rsidRPr="00FA3E0B">
        <w:t>kultūrinėje meninėje veikloje aktualizuoti Juodkrantės kurorto „aukso amžiaus“ pasiekimus;</w:t>
      </w:r>
      <w:r w:rsidR="00B637C9" w:rsidRPr="00B637C9">
        <w:rPr>
          <w:color w:val="FF0000"/>
        </w:rPr>
        <w:t xml:space="preserve"> </w:t>
      </w:r>
      <w:r w:rsidR="00B637C9" w:rsidRPr="009022ED">
        <w:t>pritraukti papildomą finansavimą įstaigos veikloms vykdyti; pritraukti papildomas lėšas iš kultūrinę veiklą remiančių fondų, rinkti lėšas už teikiamas paslaugas; rengti projektus ir tęsti jų įgyvendinimą</w:t>
      </w:r>
      <w:r w:rsidRPr="009022ED">
        <w:t xml:space="preserve">. </w:t>
      </w:r>
      <w:r w:rsidR="00E574D3">
        <w:t xml:space="preserve">Planuojame dalyvauti </w:t>
      </w:r>
      <w:r w:rsidR="00436ABE" w:rsidRPr="00E574D3">
        <w:t xml:space="preserve">Klaipėdos miesto savivaldybės Imanuelio Kanto viešosios bibliotekos </w:t>
      </w:r>
      <w:r w:rsidR="002D14A3" w:rsidRPr="00E574D3">
        <w:t>metų knygos rinkimų konkurse „Klaipėdos knyga 2020“</w:t>
      </w:r>
      <w:r w:rsidR="00E574D3" w:rsidRPr="00E574D3">
        <w:t>, kur</w:t>
      </w:r>
      <w:r w:rsidR="002D14A3" w:rsidRPr="00E574D3">
        <w:t xml:space="preserve"> pristatysime </w:t>
      </w:r>
      <w:r w:rsidR="00436ABE" w:rsidRPr="00E574D3">
        <w:t>išleistą Dainiau</w:t>
      </w:r>
      <w:r w:rsidR="00677218">
        <w:t>s</w:t>
      </w:r>
      <w:r w:rsidR="00436ABE" w:rsidRPr="00E574D3">
        <w:t xml:space="preserve"> Junevičiaus ir Nijolės Strakauskaitės</w:t>
      </w:r>
      <w:r w:rsidR="002D14A3" w:rsidRPr="00E574D3">
        <w:t xml:space="preserve"> </w:t>
      </w:r>
      <w:r w:rsidR="00E574D3" w:rsidRPr="00E574D3">
        <w:t>knygą</w:t>
      </w:r>
      <w:r w:rsidR="002D14A3" w:rsidRPr="00E574D3">
        <w:t xml:space="preserve"> </w:t>
      </w:r>
      <w:r w:rsidR="002D14A3" w:rsidRPr="00E574D3">
        <w:rPr>
          <w:bCs/>
        </w:rPr>
        <w:t>„Kuršių nerija anno 1900: Tilžės fotografo Roberto Minzloffo (1855–1930) stereoskopinių fotografijų rinkinys „Die Kurische Nehrung“</w:t>
      </w:r>
      <w:r w:rsidR="00436ABE" w:rsidRPr="00E574D3">
        <w:rPr>
          <w:bCs/>
        </w:rPr>
        <w:t xml:space="preserve">. </w:t>
      </w:r>
      <w:r w:rsidR="00436ABE" w:rsidRPr="00E574D3">
        <w:t xml:space="preserve">Leidinį planuojame pristatyti ir Vilniaus knygų mugėje. </w:t>
      </w:r>
      <w:r w:rsidR="00E574D3">
        <w:t>K</w:t>
      </w:r>
      <w:r w:rsidR="00436ABE" w:rsidRPr="00E574D3">
        <w:t>nygą planuojame išle</w:t>
      </w:r>
      <w:r w:rsidR="00E574D3">
        <w:t>isti vokiečių ir anglų kalbomis</w:t>
      </w:r>
      <w:r w:rsidR="00436ABE" w:rsidRPr="00E574D3">
        <w:t xml:space="preserve">. </w:t>
      </w:r>
      <w:r w:rsidR="00D74252">
        <w:t>Numatoma m</w:t>
      </w:r>
      <w:r w:rsidR="00436ABE" w:rsidRPr="00E574D3">
        <w:t xml:space="preserve">odernizuoti istorinę ekspoziciją: </w:t>
      </w:r>
      <w:r w:rsidR="00E574D3">
        <w:t>p</w:t>
      </w:r>
      <w:r w:rsidR="00436ABE" w:rsidRPr="00E574D3">
        <w:t xml:space="preserve">abaigti audiogido kūrimą, </w:t>
      </w:r>
      <w:r w:rsidR="00593945" w:rsidRPr="00E574D3">
        <w:t>papildyti</w:t>
      </w:r>
      <w:r w:rsidR="005850CD" w:rsidRPr="00E574D3">
        <w:t xml:space="preserve"> ir atnaujinti </w:t>
      </w:r>
      <w:r w:rsidR="00593945" w:rsidRPr="00E574D3">
        <w:t>eksponatų</w:t>
      </w:r>
      <w:r w:rsidR="00D74252">
        <w:t>, susijusių su žvejyba,</w:t>
      </w:r>
      <w:r w:rsidR="005850CD" w:rsidRPr="00E574D3">
        <w:t xml:space="preserve"> ekspoziciją.</w:t>
      </w:r>
      <w:r w:rsidR="00715120" w:rsidRPr="00E574D3">
        <w:t xml:space="preserve"> </w:t>
      </w:r>
      <w:r w:rsidR="00D74252">
        <w:t xml:space="preserve">Planuojame atnaujinti įstaigos </w:t>
      </w:r>
      <w:r w:rsidR="00D74252" w:rsidRPr="00D74252">
        <w:t>internet</w:t>
      </w:r>
      <w:r w:rsidR="00677218">
        <w:t>o</w:t>
      </w:r>
      <w:r w:rsidR="00D74252" w:rsidRPr="00D74252">
        <w:t xml:space="preserve"> puslapį. </w:t>
      </w:r>
      <w:r w:rsidR="00D74252">
        <w:t>Numatoma o</w:t>
      </w:r>
      <w:r w:rsidR="00715120" w:rsidRPr="00E574D3">
        <w:t xml:space="preserve">rganizuoti </w:t>
      </w:r>
      <w:r w:rsidR="006F0796" w:rsidRPr="00E574D3">
        <w:t>kultūros sostinės atviras diskusijas su bendruomene „Kurorto aukso amžius“</w:t>
      </w:r>
      <w:r w:rsidR="00940EDE">
        <w:t>, taip pat bus t</w:t>
      </w:r>
      <w:r w:rsidR="0017645B" w:rsidRPr="0017645B">
        <w:t>ęsi</w:t>
      </w:r>
      <w:r w:rsidR="00940EDE">
        <w:t>amas projektų įgyvendinimas</w:t>
      </w:r>
      <w:r w:rsidR="0017645B">
        <w:t>.</w:t>
      </w:r>
      <w:r w:rsidR="00A218BC">
        <w:t xml:space="preserve"> </w:t>
      </w:r>
    </w:p>
    <w:p w14:paraId="6E29096B" w14:textId="77777777" w:rsidR="00B637C9" w:rsidRDefault="00B637C9" w:rsidP="00B637C9">
      <w:pPr>
        <w:autoSpaceDE w:val="0"/>
        <w:autoSpaceDN w:val="0"/>
        <w:adjustRightInd w:val="0"/>
      </w:pPr>
    </w:p>
    <w:p w14:paraId="375B3160" w14:textId="77777777" w:rsidR="00DE1D49" w:rsidRDefault="00FA3E0B" w:rsidP="00B637C9">
      <w:pPr>
        <w:tabs>
          <w:tab w:val="left" w:pos="993"/>
        </w:tabs>
        <w:jc w:val="both"/>
        <w:rPr>
          <w:u w:val="single"/>
        </w:rPr>
      </w:pPr>
      <w:r>
        <w:t xml:space="preserve"> </w:t>
      </w:r>
      <w:r w:rsidR="00B637C9">
        <w:tab/>
      </w:r>
      <w:r w:rsidR="001857DA" w:rsidRPr="00BD1407">
        <w:rPr>
          <w:b/>
        </w:rPr>
        <w:t>2.</w:t>
      </w:r>
      <w:r w:rsidR="00742C7B">
        <w:rPr>
          <w:b/>
        </w:rPr>
        <w:t xml:space="preserve"> Centro</w:t>
      </w:r>
      <w:r w:rsidR="001857DA">
        <w:rPr>
          <w:b/>
        </w:rPr>
        <w:t xml:space="preserve"> veiklos pristatymas ir rodikliai.</w:t>
      </w:r>
    </w:p>
    <w:p w14:paraId="4082121B" w14:textId="77777777" w:rsidR="001857DA" w:rsidRPr="001857DA" w:rsidRDefault="00D77681" w:rsidP="009B16BF">
      <w:pPr>
        <w:pStyle w:val="Betarp"/>
        <w:ind w:firstLine="1276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2.1. T</w:t>
      </w:r>
      <w:r w:rsidR="001857DA" w:rsidRPr="001857D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rumpas Centro pristatymas: </w:t>
      </w:r>
    </w:p>
    <w:p w14:paraId="58FD74AB" w14:textId="3E90F624" w:rsidR="00F672C4" w:rsidRDefault="001857DA" w:rsidP="00BC777A">
      <w:pPr>
        <w:pStyle w:val="Pavadinimas"/>
        <w:ind w:firstLine="1296"/>
        <w:jc w:val="both"/>
        <w:rPr>
          <w:b w:val="0"/>
        </w:rPr>
      </w:pPr>
      <w:r w:rsidRPr="009B16BF">
        <w:rPr>
          <w:b w:val="0"/>
        </w:rPr>
        <w:t>2.1.1.</w:t>
      </w:r>
      <w:r w:rsidR="009B16BF">
        <w:rPr>
          <w:b w:val="0"/>
        </w:rPr>
        <w:t xml:space="preserve"> </w:t>
      </w:r>
      <w:r w:rsidRPr="009B16BF">
        <w:rPr>
          <w:b w:val="0"/>
        </w:rPr>
        <w:t>Darbuotojų skaičius – 14.</w:t>
      </w:r>
      <w:r w:rsidR="009B16BF">
        <w:rPr>
          <w:bCs w:val="0"/>
        </w:rPr>
        <w:t xml:space="preserve"> </w:t>
      </w:r>
      <w:r w:rsidR="009B16BF">
        <w:rPr>
          <w:b w:val="0"/>
        </w:rPr>
        <w:t xml:space="preserve">Liudviko Rėzos kultūros centre nustatytas </w:t>
      </w:r>
      <w:r w:rsidR="009B16BF" w:rsidRPr="009E2A8A">
        <w:rPr>
          <w:b w:val="0"/>
        </w:rPr>
        <w:t>15</w:t>
      </w:r>
      <w:r w:rsidR="00677218">
        <w:rPr>
          <w:b w:val="0"/>
        </w:rPr>
        <w:t> </w:t>
      </w:r>
      <w:r w:rsidR="009B16BF">
        <w:rPr>
          <w:b w:val="0"/>
        </w:rPr>
        <w:t xml:space="preserve">didžiausias leistinas pareigybių skaičius, dirbančių pagal darbo sutartis ir gaunančių darbo užmokestį iš Neringos savivaldybės biudžeto (patvirtinta Neringos savivaldybės tarybos </w:t>
      </w:r>
      <w:r w:rsidR="00677218">
        <w:rPr>
          <w:b w:val="0"/>
        </w:rPr>
        <w:br/>
      </w:r>
      <w:r w:rsidR="009B16BF">
        <w:rPr>
          <w:b w:val="0"/>
        </w:rPr>
        <w:lastRenderedPageBreak/>
        <w:t>2011-12-15 sprendimu Nr.</w:t>
      </w:r>
      <w:r w:rsidR="00677218">
        <w:rPr>
          <w:b w:val="0"/>
        </w:rPr>
        <w:t xml:space="preserve"> </w:t>
      </w:r>
      <w:r w:rsidR="009B16BF">
        <w:rPr>
          <w:b w:val="0"/>
        </w:rPr>
        <w:t xml:space="preserve">T1-187 „Dėl didžiausio leistino pareigybių skaičiaus Neringos savivaldybės kultūros įstaigose nustatymo“).  </w:t>
      </w:r>
    </w:p>
    <w:p w14:paraId="0E719C51" w14:textId="77777777" w:rsidR="00E04278" w:rsidRPr="00E04278" w:rsidRDefault="00E04278" w:rsidP="00E04278">
      <w:pPr>
        <w:pStyle w:val="Paantrat"/>
        <w:rPr>
          <w:lang w:eastAsia="ar-SA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097"/>
        <w:gridCol w:w="2661"/>
        <w:gridCol w:w="2054"/>
        <w:gridCol w:w="1985"/>
        <w:gridCol w:w="1417"/>
      </w:tblGrid>
      <w:tr w:rsidR="009B16BF" w:rsidRPr="00255A67" w14:paraId="06A83048" w14:textId="77777777" w:rsidTr="00463EA1">
        <w:tc>
          <w:tcPr>
            <w:tcW w:w="1097" w:type="dxa"/>
          </w:tcPr>
          <w:p w14:paraId="37867AE3" w14:textId="77777777" w:rsidR="009B16BF" w:rsidRPr="00255A67" w:rsidRDefault="009B16BF" w:rsidP="00255A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14:paraId="3D25176E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Dirbantys pilną darbo laiko normą</w:t>
            </w:r>
          </w:p>
        </w:tc>
        <w:tc>
          <w:tcPr>
            <w:tcW w:w="2054" w:type="dxa"/>
            <w:vAlign w:val="center"/>
          </w:tcPr>
          <w:p w14:paraId="53009CF1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Darbuotojai</w:t>
            </w:r>
          </w:p>
          <w:p w14:paraId="5991BC6A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(iš viso)</w:t>
            </w:r>
          </w:p>
        </w:tc>
        <w:tc>
          <w:tcPr>
            <w:tcW w:w="1985" w:type="dxa"/>
            <w:vAlign w:val="center"/>
          </w:tcPr>
          <w:p w14:paraId="46F619CE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Kultūros ir meno darbuotojai</w:t>
            </w:r>
          </w:p>
        </w:tc>
        <w:tc>
          <w:tcPr>
            <w:tcW w:w="1417" w:type="dxa"/>
            <w:vAlign w:val="center"/>
          </w:tcPr>
          <w:p w14:paraId="6A48D1DE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Kiti</w:t>
            </w:r>
          </w:p>
        </w:tc>
      </w:tr>
      <w:tr w:rsidR="009B16BF" w:rsidRPr="00255A67" w14:paraId="004F434C" w14:textId="77777777" w:rsidTr="00463EA1">
        <w:tc>
          <w:tcPr>
            <w:tcW w:w="1097" w:type="dxa"/>
          </w:tcPr>
          <w:p w14:paraId="7D50EC94" w14:textId="77777777" w:rsidR="009B16BF" w:rsidRPr="00255A67" w:rsidRDefault="009B16BF" w:rsidP="00255A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503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61" w:type="dxa"/>
          </w:tcPr>
          <w:p w14:paraId="2490F356" w14:textId="77777777" w:rsidR="009B16BF" w:rsidRPr="00255A67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9,25 (vasaros metu 9,75)</w:t>
            </w:r>
          </w:p>
        </w:tc>
        <w:tc>
          <w:tcPr>
            <w:tcW w:w="2054" w:type="dxa"/>
          </w:tcPr>
          <w:p w14:paraId="67D3F099" w14:textId="77777777" w:rsidR="009B16BF" w:rsidRPr="00255A67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48C20CED" w14:textId="77777777" w:rsidR="009B16BF" w:rsidRPr="00255A67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5776B6CA" w14:textId="77777777" w:rsidR="009B16BF" w:rsidRPr="00255A67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16BF" w:rsidRPr="00255A67" w14:paraId="3AB84654" w14:textId="77777777" w:rsidTr="00463EA1">
        <w:tc>
          <w:tcPr>
            <w:tcW w:w="1097" w:type="dxa"/>
          </w:tcPr>
          <w:p w14:paraId="7BD55AE6" w14:textId="77777777" w:rsidR="009B16BF" w:rsidRPr="00255A67" w:rsidRDefault="009B16BF" w:rsidP="00255A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503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61" w:type="dxa"/>
          </w:tcPr>
          <w:p w14:paraId="430D34C6" w14:textId="77777777" w:rsidR="009B16BF" w:rsidRPr="00255A67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9,25 (vasaros metu 9,75)</w:t>
            </w:r>
          </w:p>
        </w:tc>
        <w:tc>
          <w:tcPr>
            <w:tcW w:w="2054" w:type="dxa"/>
          </w:tcPr>
          <w:p w14:paraId="6CAE6485" w14:textId="77777777" w:rsidR="009B16BF" w:rsidRPr="00255A67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7953454A" w14:textId="77777777" w:rsidR="009B16BF" w:rsidRPr="00255A67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0A961535" w14:textId="77777777" w:rsidR="009B16BF" w:rsidRPr="00255A67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16BF" w:rsidRPr="00255A67" w14:paraId="3746C8BE" w14:textId="77777777" w:rsidTr="00463EA1">
        <w:tc>
          <w:tcPr>
            <w:tcW w:w="1097" w:type="dxa"/>
          </w:tcPr>
          <w:p w14:paraId="4A6EE792" w14:textId="77777777" w:rsidR="009B16BF" w:rsidRPr="00255A67" w:rsidRDefault="009B16BF" w:rsidP="00255A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50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61" w:type="dxa"/>
          </w:tcPr>
          <w:p w14:paraId="1BB6AAD3" w14:textId="77777777" w:rsidR="009B16BF" w:rsidRPr="00255A67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9,25 (vasaros metu 9,75)</w:t>
            </w:r>
          </w:p>
        </w:tc>
        <w:tc>
          <w:tcPr>
            <w:tcW w:w="2054" w:type="dxa"/>
          </w:tcPr>
          <w:p w14:paraId="49C431E0" w14:textId="77777777" w:rsidR="009B16BF" w:rsidRPr="00255A67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06BA3452" w14:textId="77777777" w:rsidR="009B16BF" w:rsidRPr="00255A67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3075EE61" w14:textId="77777777" w:rsidR="009B16BF" w:rsidRPr="00255A67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111AF" w:rsidRPr="00255A67" w14:paraId="6663AD4E" w14:textId="77777777" w:rsidTr="00463EA1">
        <w:tc>
          <w:tcPr>
            <w:tcW w:w="1097" w:type="dxa"/>
          </w:tcPr>
          <w:p w14:paraId="31900222" w14:textId="77777777" w:rsidR="00F111AF" w:rsidRPr="00255A67" w:rsidRDefault="00F111AF" w:rsidP="007D278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61" w:type="dxa"/>
          </w:tcPr>
          <w:p w14:paraId="7CAE9569" w14:textId="77777777" w:rsidR="00F111AF" w:rsidRPr="00255A67" w:rsidRDefault="00F111AF" w:rsidP="007D278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9,25 (vasaros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metu 9,2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2054" w:type="dxa"/>
          </w:tcPr>
          <w:p w14:paraId="50A6CCC9" w14:textId="77777777" w:rsidR="00F111AF" w:rsidRPr="00255A67" w:rsidRDefault="00F111AF" w:rsidP="007D278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2A0B2DBD" w14:textId="77777777" w:rsidR="00F111AF" w:rsidRPr="00255A67" w:rsidRDefault="00F111AF" w:rsidP="007D278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09E662A9" w14:textId="77777777" w:rsidR="00F111AF" w:rsidRPr="00255A67" w:rsidRDefault="00F111AF" w:rsidP="007D278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8FC8738" w14:textId="77777777" w:rsidR="00B33837" w:rsidRDefault="00B33837" w:rsidP="00DE6E52">
      <w:pPr>
        <w:ind w:firstLine="1080"/>
        <w:jc w:val="both"/>
      </w:pPr>
    </w:p>
    <w:p w14:paraId="2ADC28D1" w14:textId="77777777" w:rsidR="00F93ED4" w:rsidRDefault="00F93ED4" w:rsidP="00DE6E52">
      <w:pPr>
        <w:ind w:firstLine="1080"/>
        <w:jc w:val="both"/>
      </w:pPr>
      <w:r w:rsidRPr="002A496F">
        <w:t xml:space="preserve">Liudviko Rėzos kultūros centre </w:t>
      </w:r>
      <w:r>
        <w:t>yra</w:t>
      </w:r>
      <w:r w:rsidRPr="002A496F">
        <w:t xml:space="preserve"> </w:t>
      </w:r>
      <w:r>
        <w:t>3</w:t>
      </w:r>
      <w:r w:rsidRPr="002A496F">
        <w:t xml:space="preserve"> </w:t>
      </w:r>
      <w:r>
        <w:t xml:space="preserve">mėgėjų meno </w:t>
      </w:r>
      <w:r w:rsidRPr="002A496F">
        <w:t>kolektyvai:</w:t>
      </w:r>
      <w:r w:rsidR="00DE6E52">
        <w:t xml:space="preserve"> </w:t>
      </w:r>
      <w:r w:rsidRPr="00B054AE">
        <w:t xml:space="preserve">vokalinis moterų ansamblis </w:t>
      </w:r>
      <w:r w:rsidRPr="00B33837">
        <w:t>,,Neringa“ (vadovė Rita Rušinskienė)</w:t>
      </w:r>
      <w:r w:rsidR="00DE6E52" w:rsidRPr="00B33837">
        <w:t xml:space="preserve">; </w:t>
      </w:r>
      <w:r w:rsidRPr="00B33837">
        <w:t>liaudiškos muzikos kapela „Kuršininkai“ (vadovė Dana Tregub)</w:t>
      </w:r>
      <w:r w:rsidR="00DE6E52" w:rsidRPr="00B33837">
        <w:t xml:space="preserve">; </w:t>
      </w:r>
      <w:r w:rsidRPr="00B33837">
        <w:t>folkloro ansamblis „Aušrinė“ (vadovė Ramunė Pečiukonytė)</w:t>
      </w:r>
      <w:r w:rsidR="00DE6E52" w:rsidRPr="00B33837">
        <w:t xml:space="preserve">. </w:t>
      </w:r>
      <w:r w:rsidRPr="00B33837">
        <w:t>Kolektyvus</w:t>
      </w:r>
      <w:r w:rsidRPr="00B054AE">
        <w:t xml:space="preserve"> lanko </w:t>
      </w:r>
      <w:r w:rsidR="0008040E">
        <w:t>42</w:t>
      </w:r>
      <w:r w:rsidR="00D77681">
        <w:t xml:space="preserve"> asmenys</w:t>
      </w:r>
      <w:r w:rsidRPr="00B054AE">
        <w:t>.</w:t>
      </w:r>
    </w:p>
    <w:p w14:paraId="5B16999D" w14:textId="2E0CA28D" w:rsidR="003A0453" w:rsidRDefault="00F67F73" w:rsidP="00BD1407">
      <w:pPr>
        <w:pStyle w:val="Betarp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3A0453">
        <w:rPr>
          <w:rFonts w:ascii="Times New Roman" w:hAnsi="Times New Roman" w:cs="Times New Roman"/>
          <w:sz w:val="24"/>
          <w:szCs w:val="24"/>
        </w:rPr>
        <w:t xml:space="preserve">2. </w:t>
      </w:r>
      <w:r w:rsidR="001857DA" w:rsidRPr="00072D55">
        <w:rPr>
          <w:rFonts w:ascii="Times New Roman" w:hAnsi="Times New Roman" w:cs="Times New Roman"/>
          <w:sz w:val="24"/>
          <w:szCs w:val="24"/>
        </w:rPr>
        <w:t>Kultūr</w:t>
      </w:r>
      <w:r w:rsidR="001857DA">
        <w:rPr>
          <w:rFonts w:ascii="Times New Roman" w:hAnsi="Times New Roman" w:cs="Times New Roman"/>
          <w:sz w:val="24"/>
          <w:szCs w:val="24"/>
        </w:rPr>
        <w:t>os ir administracijos darbuotojai</w:t>
      </w:r>
      <w:r w:rsidR="001857DA" w:rsidRPr="00072D55">
        <w:rPr>
          <w:rFonts w:ascii="Times New Roman" w:hAnsi="Times New Roman" w:cs="Times New Roman"/>
          <w:sz w:val="24"/>
          <w:szCs w:val="24"/>
        </w:rPr>
        <w:t xml:space="preserve"> kėlė kvalifikaciją </w:t>
      </w:r>
      <w:r w:rsidR="002E170C">
        <w:rPr>
          <w:rFonts w:ascii="Times New Roman" w:hAnsi="Times New Roman" w:cs="Times New Roman"/>
          <w:sz w:val="24"/>
          <w:szCs w:val="24"/>
        </w:rPr>
        <w:t xml:space="preserve">projektų valdymo, </w:t>
      </w:r>
      <w:r w:rsidR="001857DA" w:rsidRPr="00072D55">
        <w:rPr>
          <w:rFonts w:ascii="Times New Roman" w:hAnsi="Times New Roman" w:cs="Times New Roman"/>
          <w:sz w:val="24"/>
          <w:szCs w:val="24"/>
        </w:rPr>
        <w:t xml:space="preserve">kultūros vadybos, </w:t>
      </w:r>
      <w:r w:rsidR="002E170C" w:rsidRPr="002E170C">
        <w:rPr>
          <w:rFonts w:ascii="Times New Roman" w:hAnsi="Times New Roman" w:cs="Times New Roman"/>
          <w:sz w:val="24"/>
          <w:szCs w:val="24"/>
        </w:rPr>
        <w:t>inovacijų kūrimo ir valdymo</w:t>
      </w:r>
      <w:r w:rsidR="00DD26D3">
        <w:rPr>
          <w:rFonts w:ascii="Times New Roman" w:hAnsi="Times New Roman" w:cs="Times New Roman"/>
          <w:sz w:val="24"/>
          <w:szCs w:val="24"/>
        </w:rPr>
        <w:t>,</w:t>
      </w:r>
      <w:r w:rsidR="00DD26D3" w:rsidRPr="00072D55">
        <w:rPr>
          <w:rFonts w:ascii="Times New Roman" w:hAnsi="Times New Roman" w:cs="Times New Roman"/>
          <w:sz w:val="24"/>
          <w:szCs w:val="24"/>
        </w:rPr>
        <w:t xml:space="preserve"> </w:t>
      </w:r>
      <w:r w:rsidR="001857DA" w:rsidRPr="00072D55">
        <w:rPr>
          <w:rFonts w:ascii="Times New Roman" w:hAnsi="Times New Roman" w:cs="Times New Roman"/>
          <w:sz w:val="24"/>
          <w:szCs w:val="24"/>
        </w:rPr>
        <w:t xml:space="preserve">kultūros renginių organizavimo, buhalterinės apskaitos, </w:t>
      </w:r>
      <w:r w:rsidR="002E170C">
        <w:rPr>
          <w:rFonts w:ascii="Times New Roman" w:hAnsi="Times New Roman" w:cs="Times New Roman"/>
          <w:sz w:val="24"/>
          <w:szCs w:val="24"/>
        </w:rPr>
        <w:t>kultūrinių paslaugų komplekso pardavimo strategijos,</w:t>
      </w:r>
      <w:r w:rsidR="002E170C" w:rsidRPr="002E170C">
        <w:rPr>
          <w:rFonts w:ascii="Times New Roman" w:hAnsi="Times New Roman" w:cs="Times New Roman"/>
          <w:sz w:val="24"/>
          <w:szCs w:val="24"/>
        </w:rPr>
        <w:t xml:space="preserve"> </w:t>
      </w:r>
      <w:r w:rsidR="0017645B">
        <w:rPr>
          <w:rFonts w:ascii="Times New Roman" w:hAnsi="Times New Roman" w:cs="Times New Roman"/>
          <w:sz w:val="24"/>
          <w:szCs w:val="24"/>
        </w:rPr>
        <w:t>etninės kultūros specialistų</w:t>
      </w:r>
      <w:r w:rsidR="002E170C">
        <w:rPr>
          <w:rFonts w:ascii="Times New Roman" w:hAnsi="Times New Roman" w:cs="Times New Roman"/>
          <w:sz w:val="24"/>
          <w:szCs w:val="24"/>
        </w:rPr>
        <w:t>, nuotolinio darbo organizavimo</w:t>
      </w:r>
      <w:r w:rsidR="001857DA">
        <w:rPr>
          <w:rFonts w:ascii="Times New Roman" w:hAnsi="Times New Roman" w:cs="Times New Roman"/>
          <w:sz w:val="24"/>
          <w:szCs w:val="24"/>
        </w:rPr>
        <w:t xml:space="preserve"> </w:t>
      </w:r>
      <w:r w:rsidR="001857DA" w:rsidRPr="00072D55">
        <w:rPr>
          <w:rFonts w:ascii="Times New Roman" w:hAnsi="Times New Roman" w:cs="Times New Roman"/>
          <w:sz w:val="24"/>
          <w:szCs w:val="24"/>
        </w:rPr>
        <w:t xml:space="preserve">kvalifikacijos kėlimo kursuose ir seminaruose. </w:t>
      </w:r>
      <w:r w:rsidR="003A0453">
        <w:rPr>
          <w:rFonts w:ascii="Times New Roman" w:hAnsi="Times New Roman" w:cs="Times New Roman"/>
          <w:sz w:val="24"/>
          <w:szCs w:val="24"/>
        </w:rPr>
        <w:t>20</w:t>
      </w:r>
      <w:r w:rsidR="0017645B">
        <w:rPr>
          <w:rFonts w:ascii="Times New Roman" w:hAnsi="Times New Roman" w:cs="Times New Roman"/>
          <w:sz w:val="24"/>
          <w:szCs w:val="24"/>
        </w:rPr>
        <w:t>20</w:t>
      </w:r>
      <w:r w:rsidR="001857DA">
        <w:rPr>
          <w:rFonts w:ascii="Times New Roman" w:hAnsi="Times New Roman" w:cs="Times New Roman"/>
          <w:sz w:val="24"/>
          <w:szCs w:val="24"/>
        </w:rPr>
        <w:t xml:space="preserve"> met</w:t>
      </w:r>
      <w:r w:rsidR="00DD26D3">
        <w:rPr>
          <w:rFonts w:ascii="Times New Roman" w:hAnsi="Times New Roman" w:cs="Times New Roman"/>
          <w:sz w:val="24"/>
          <w:szCs w:val="24"/>
        </w:rPr>
        <w:t>ai</w:t>
      </w:r>
      <w:r w:rsidR="001857DA">
        <w:rPr>
          <w:rFonts w:ascii="Times New Roman" w:hAnsi="Times New Roman" w:cs="Times New Roman"/>
          <w:sz w:val="24"/>
          <w:szCs w:val="24"/>
        </w:rPr>
        <w:t xml:space="preserve">s </w:t>
      </w:r>
      <w:r w:rsidR="0017645B">
        <w:rPr>
          <w:rFonts w:ascii="Times New Roman" w:hAnsi="Times New Roman" w:cs="Times New Roman"/>
          <w:sz w:val="24"/>
          <w:szCs w:val="24"/>
        </w:rPr>
        <w:t>7</w:t>
      </w:r>
      <w:r w:rsidR="00677218">
        <w:rPr>
          <w:rFonts w:ascii="Times New Roman" w:hAnsi="Times New Roman" w:cs="Times New Roman"/>
          <w:sz w:val="24"/>
          <w:szCs w:val="24"/>
        </w:rPr>
        <w:t> </w:t>
      </w:r>
      <w:r w:rsidR="001857DA" w:rsidRPr="00072D55">
        <w:rPr>
          <w:rFonts w:ascii="Times New Roman" w:hAnsi="Times New Roman" w:cs="Times New Roman"/>
          <w:sz w:val="24"/>
          <w:szCs w:val="24"/>
        </w:rPr>
        <w:t xml:space="preserve">darbuotojai </w:t>
      </w:r>
      <w:r w:rsidR="003A0453">
        <w:rPr>
          <w:rFonts w:ascii="Times New Roman" w:hAnsi="Times New Roman" w:cs="Times New Roman"/>
          <w:sz w:val="24"/>
          <w:szCs w:val="24"/>
        </w:rPr>
        <w:t>kėlė kvalifikaciją</w:t>
      </w:r>
      <w:r w:rsidR="001857DA" w:rsidRPr="00072D55">
        <w:rPr>
          <w:rFonts w:ascii="Times New Roman" w:hAnsi="Times New Roman" w:cs="Times New Roman"/>
          <w:sz w:val="24"/>
          <w:szCs w:val="24"/>
        </w:rPr>
        <w:t xml:space="preserve"> </w:t>
      </w:r>
      <w:r w:rsidR="0017645B">
        <w:rPr>
          <w:rFonts w:ascii="Times New Roman" w:hAnsi="Times New Roman" w:cs="Times New Roman"/>
          <w:sz w:val="24"/>
          <w:szCs w:val="24"/>
        </w:rPr>
        <w:t xml:space="preserve">17 </w:t>
      </w:r>
      <w:r w:rsidR="003A0453" w:rsidRPr="00072D55">
        <w:rPr>
          <w:rFonts w:ascii="Times New Roman" w:hAnsi="Times New Roman" w:cs="Times New Roman"/>
          <w:sz w:val="24"/>
          <w:szCs w:val="24"/>
        </w:rPr>
        <w:t>kvalifikacijos kėlimo</w:t>
      </w:r>
      <w:r w:rsidR="003A0453">
        <w:rPr>
          <w:rFonts w:ascii="Times New Roman" w:hAnsi="Times New Roman" w:cs="Times New Roman"/>
          <w:sz w:val="24"/>
          <w:szCs w:val="24"/>
        </w:rPr>
        <w:t xml:space="preserve"> rengin</w:t>
      </w:r>
      <w:r w:rsidR="00754D93">
        <w:rPr>
          <w:rFonts w:ascii="Times New Roman" w:hAnsi="Times New Roman" w:cs="Times New Roman"/>
          <w:sz w:val="24"/>
          <w:szCs w:val="24"/>
        </w:rPr>
        <w:t>i</w:t>
      </w:r>
      <w:r w:rsidR="00677218">
        <w:rPr>
          <w:rFonts w:ascii="Times New Roman" w:hAnsi="Times New Roman" w:cs="Times New Roman"/>
          <w:sz w:val="24"/>
          <w:szCs w:val="24"/>
        </w:rPr>
        <w:t>ų</w:t>
      </w:r>
      <w:r w:rsidR="00DD26D3">
        <w:rPr>
          <w:rFonts w:ascii="Times New Roman" w:hAnsi="Times New Roman" w:cs="Times New Roman"/>
          <w:sz w:val="24"/>
          <w:szCs w:val="24"/>
        </w:rPr>
        <w:t>.</w:t>
      </w:r>
      <w:r w:rsidR="001E1B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00503" w14:textId="77777777" w:rsidR="003A0453" w:rsidRPr="00015899" w:rsidRDefault="003A0453" w:rsidP="00BD1407">
      <w:pPr>
        <w:spacing w:before="120"/>
        <w:ind w:firstLine="1134"/>
        <w:jc w:val="both"/>
      </w:pPr>
      <w:r w:rsidRPr="00015899">
        <w:t xml:space="preserve">2.1.3. </w:t>
      </w:r>
      <w:r w:rsidR="003C3F1A" w:rsidRPr="00015899">
        <w:t>Vidutinis darbo užmokestis:</w:t>
      </w:r>
    </w:p>
    <w:tbl>
      <w:tblPr>
        <w:tblStyle w:val="Lentelstinklelis"/>
        <w:tblW w:w="9460" w:type="dxa"/>
        <w:tblLayout w:type="fixed"/>
        <w:tblLook w:val="04A0" w:firstRow="1" w:lastRow="0" w:firstColumn="1" w:lastColumn="0" w:noHBand="0" w:noVBand="1"/>
      </w:tblPr>
      <w:tblGrid>
        <w:gridCol w:w="2547"/>
        <w:gridCol w:w="1275"/>
        <w:gridCol w:w="1135"/>
        <w:gridCol w:w="1428"/>
        <w:gridCol w:w="1642"/>
        <w:gridCol w:w="1433"/>
      </w:tblGrid>
      <w:tr w:rsidR="00C503C3" w:rsidRPr="008401EE" w14:paraId="637DEB3F" w14:textId="77777777" w:rsidTr="00441674">
        <w:tc>
          <w:tcPr>
            <w:tcW w:w="2547" w:type="dxa"/>
            <w:vAlign w:val="center"/>
          </w:tcPr>
          <w:p w14:paraId="3A9D09EC" w14:textId="77777777" w:rsidR="00C503C3" w:rsidRPr="003C3F1A" w:rsidRDefault="00C503C3" w:rsidP="003C3F1A">
            <w:pPr>
              <w:jc w:val="center"/>
              <w:rPr>
                <w:b/>
              </w:rPr>
            </w:pPr>
            <w:bookmarkStart w:id="0" w:name="_Hlk508195673"/>
            <w:r w:rsidRPr="003C3F1A">
              <w:rPr>
                <w:b/>
              </w:rPr>
              <w:t>Pareigybės pavadinimas</w:t>
            </w:r>
          </w:p>
        </w:tc>
        <w:tc>
          <w:tcPr>
            <w:tcW w:w="1275" w:type="dxa"/>
            <w:vAlign w:val="center"/>
          </w:tcPr>
          <w:p w14:paraId="359287AA" w14:textId="77777777" w:rsidR="00C503C3" w:rsidRPr="003C3F1A" w:rsidRDefault="00C503C3" w:rsidP="003C3F1A">
            <w:pPr>
              <w:jc w:val="center"/>
              <w:rPr>
                <w:b/>
              </w:rPr>
            </w:pPr>
            <w:r w:rsidRPr="00735A9F">
              <w:rPr>
                <w:b/>
              </w:rPr>
              <w:t>Dirbantys pilną darbo laiko normą</w:t>
            </w:r>
          </w:p>
        </w:tc>
        <w:tc>
          <w:tcPr>
            <w:tcW w:w="1135" w:type="dxa"/>
            <w:vAlign w:val="center"/>
          </w:tcPr>
          <w:p w14:paraId="516B51EF" w14:textId="77777777" w:rsidR="00C503C3" w:rsidRPr="003C3F1A" w:rsidRDefault="00C503C3" w:rsidP="003C3F1A">
            <w:pPr>
              <w:jc w:val="center"/>
              <w:rPr>
                <w:b/>
              </w:rPr>
            </w:pPr>
            <w:r w:rsidRPr="003C3F1A">
              <w:rPr>
                <w:b/>
              </w:rPr>
              <w:t>Dar</w:t>
            </w:r>
            <w:r w:rsidR="00441674">
              <w:rPr>
                <w:b/>
              </w:rPr>
              <w:t>buo-</w:t>
            </w:r>
            <w:r w:rsidRPr="003C3F1A">
              <w:rPr>
                <w:b/>
              </w:rPr>
              <w:t>tojų skaičius</w:t>
            </w:r>
          </w:p>
        </w:tc>
        <w:tc>
          <w:tcPr>
            <w:tcW w:w="1428" w:type="dxa"/>
            <w:vAlign w:val="center"/>
          </w:tcPr>
          <w:p w14:paraId="1D331B1D" w14:textId="77777777" w:rsidR="00C503C3" w:rsidRPr="005F0D90" w:rsidRDefault="00C503C3" w:rsidP="003C3F1A">
            <w:pPr>
              <w:jc w:val="center"/>
              <w:rPr>
                <w:b/>
                <w:sz w:val="20"/>
                <w:szCs w:val="20"/>
              </w:rPr>
            </w:pPr>
            <w:r w:rsidRPr="005F0D90">
              <w:rPr>
                <w:b/>
                <w:sz w:val="20"/>
                <w:szCs w:val="20"/>
              </w:rPr>
              <w:t>Priskaičiuotas vidutinis 201</w:t>
            </w:r>
            <w:r w:rsidR="00EC42A8">
              <w:rPr>
                <w:b/>
                <w:sz w:val="20"/>
                <w:szCs w:val="20"/>
              </w:rPr>
              <w:t>8</w:t>
            </w:r>
            <w:r w:rsidRPr="005F0D90">
              <w:rPr>
                <w:b/>
                <w:sz w:val="20"/>
                <w:szCs w:val="20"/>
              </w:rPr>
              <w:t xml:space="preserve"> m. darbo užmokestis (su priedais ir priemokomis EUR), neatskaičius mokesčių</w:t>
            </w:r>
          </w:p>
        </w:tc>
        <w:tc>
          <w:tcPr>
            <w:tcW w:w="1642" w:type="dxa"/>
          </w:tcPr>
          <w:p w14:paraId="4CA3E07B" w14:textId="77777777" w:rsidR="00C503C3" w:rsidRPr="005F0D90" w:rsidRDefault="00C503C3" w:rsidP="003C3F1A">
            <w:pPr>
              <w:jc w:val="center"/>
              <w:rPr>
                <w:b/>
                <w:sz w:val="20"/>
                <w:szCs w:val="20"/>
              </w:rPr>
            </w:pPr>
            <w:r w:rsidRPr="005F0D90">
              <w:rPr>
                <w:b/>
                <w:sz w:val="20"/>
                <w:szCs w:val="20"/>
              </w:rPr>
              <w:t>Priskaičiuotas vidutinis 201</w:t>
            </w:r>
            <w:r w:rsidR="00EC42A8">
              <w:rPr>
                <w:b/>
                <w:sz w:val="20"/>
                <w:szCs w:val="20"/>
              </w:rPr>
              <w:t>9</w:t>
            </w:r>
            <w:r w:rsidRPr="005F0D90">
              <w:rPr>
                <w:b/>
                <w:sz w:val="20"/>
                <w:szCs w:val="20"/>
              </w:rPr>
              <w:t xml:space="preserve"> m. darbo užmokestis (su priedais ir priemokomis EUR), neatskaičius mokesčių</w:t>
            </w:r>
          </w:p>
        </w:tc>
        <w:tc>
          <w:tcPr>
            <w:tcW w:w="1433" w:type="dxa"/>
          </w:tcPr>
          <w:p w14:paraId="45E7AA52" w14:textId="77777777" w:rsidR="00C503C3" w:rsidRPr="005F0D90" w:rsidRDefault="00C503C3" w:rsidP="003C3F1A">
            <w:pPr>
              <w:jc w:val="center"/>
              <w:rPr>
                <w:b/>
                <w:sz w:val="20"/>
                <w:szCs w:val="20"/>
              </w:rPr>
            </w:pPr>
            <w:r w:rsidRPr="005F0D90">
              <w:rPr>
                <w:b/>
                <w:sz w:val="20"/>
                <w:szCs w:val="20"/>
              </w:rPr>
              <w:t>Priskaičiuotas vidutinis 20</w:t>
            </w:r>
            <w:r w:rsidR="00EC42A8">
              <w:rPr>
                <w:b/>
                <w:sz w:val="20"/>
                <w:szCs w:val="20"/>
              </w:rPr>
              <w:t>20</w:t>
            </w:r>
            <w:r w:rsidRPr="005F0D90">
              <w:rPr>
                <w:b/>
                <w:sz w:val="20"/>
                <w:szCs w:val="20"/>
              </w:rPr>
              <w:t xml:space="preserve"> m. darbo užmokestis (su priedais ir priemokomis EUR), neatskaičius mokesčių</w:t>
            </w:r>
          </w:p>
        </w:tc>
      </w:tr>
      <w:tr w:rsidR="00C503C3" w:rsidRPr="008401EE" w14:paraId="74385BD8" w14:textId="77777777" w:rsidTr="00541546">
        <w:tc>
          <w:tcPr>
            <w:tcW w:w="2547" w:type="dxa"/>
          </w:tcPr>
          <w:p w14:paraId="70B6B975" w14:textId="77777777" w:rsidR="00C503C3" w:rsidRPr="00E15C99" w:rsidRDefault="00C503C3" w:rsidP="007D2781">
            <w:r w:rsidRPr="003C3F1A">
              <w:rPr>
                <w:bCs/>
                <w:i/>
              </w:rPr>
              <w:t>Administracija:</w:t>
            </w:r>
            <w:r>
              <w:rPr>
                <w:bCs/>
              </w:rPr>
              <w:t xml:space="preserve"> d</w:t>
            </w:r>
            <w:r w:rsidRPr="008401EE">
              <w:t xml:space="preserve">irektorius, direktoriaus pavaduotojas, </w:t>
            </w:r>
            <w:r>
              <w:t xml:space="preserve">vyr. buhalteris </w:t>
            </w:r>
          </w:p>
        </w:tc>
        <w:tc>
          <w:tcPr>
            <w:tcW w:w="1275" w:type="dxa"/>
            <w:vAlign w:val="center"/>
          </w:tcPr>
          <w:p w14:paraId="2CF5BB16" w14:textId="77777777" w:rsidR="00C503C3" w:rsidRPr="008401EE" w:rsidRDefault="00C503C3" w:rsidP="003C3F1A">
            <w:pPr>
              <w:jc w:val="center"/>
            </w:pPr>
            <w:r>
              <w:t>2,75</w:t>
            </w:r>
          </w:p>
        </w:tc>
        <w:tc>
          <w:tcPr>
            <w:tcW w:w="1135" w:type="dxa"/>
            <w:vAlign w:val="center"/>
          </w:tcPr>
          <w:p w14:paraId="6A16FEF3" w14:textId="77777777" w:rsidR="00C503C3" w:rsidRDefault="00C503C3" w:rsidP="003C3F1A">
            <w:pPr>
              <w:jc w:val="center"/>
            </w:pPr>
            <w:r>
              <w:t>3</w:t>
            </w:r>
          </w:p>
        </w:tc>
        <w:tc>
          <w:tcPr>
            <w:tcW w:w="1428" w:type="dxa"/>
            <w:vAlign w:val="center"/>
          </w:tcPr>
          <w:p w14:paraId="0F3FA6D1" w14:textId="77777777" w:rsidR="00C503C3" w:rsidRPr="008401EE" w:rsidRDefault="00EC42A8" w:rsidP="003C3F1A">
            <w:pPr>
              <w:jc w:val="center"/>
            </w:pPr>
            <w:r>
              <w:t>1227</w:t>
            </w:r>
          </w:p>
        </w:tc>
        <w:tc>
          <w:tcPr>
            <w:tcW w:w="1642" w:type="dxa"/>
            <w:vAlign w:val="center"/>
          </w:tcPr>
          <w:p w14:paraId="17EF610B" w14:textId="77777777" w:rsidR="00C503C3" w:rsidRDefault="00C503C3" w:rsidP="005F0D90">
            <w:pPr>
              <w:jc w:val="center"/>
            </w:pPr>
            <w:r>
              <w:t>1</w:t>
            </w:r>
            <w:r w:rsidR="00EC42A8">
              <w:t>669</w:t>
            </w:r>
          </w:p>
        </w:tc>
        <w:tc>
          <w:tcPr>
            <w:tcW w:w="1433" w:type="dxa"/>
            <w:vAlign w:val="center"/>
          </w:tcPr>
          <w:p w14:paraId="556A908D" w14:textId="77777777" w:rsidR="00C503C3" w:rsidRDefault="007A62AA" w:rsidP="00541546">
            <w:pPr>
              <w:jc w:val="center"/>
            </w:pPr>
            <w:r>
              <w:t>1929</w:t>
            </w:r>
          </w:p>
        </w:tc>
      </w:tr>
      <w:tr w:rsidR="00C503C3" w:rsidRPr="008401EE" w14:paraId="1ED4BAB7" w14:textId="77777777" w:rsidTr="00541546">
        <w:tc>
          <w:tcPr>
            <w:tcW w:w="2547" w:type="dxa"/>
          </w:tcPr>
          <w:p w14:paraId="31285984" w14:textId="77777777" w:rsidR="00C503C3" w:rsidRPr="00E15C99" w:rsidRDefault="00C503C3" w:rsidP="008A170B">
            <w:r w:rsidRPr="003C3F1A">
              <w:rPr>
                <w:bCs/>
                <w:i/>
              </w:rPr>
              <w:t>Kultūros ir meno darbuotojai:</w:t>
            </w:r>
            <w:r>
              <w:rPr>
                <w:bCs/>
              </w:rPr>
              <w:t xml:space="preserve"> k</w:t>
            </w:r>
            <w:r>
              <w:t>ultūrinės veiklos</w:t>
            </w:r>
            <w:r w:rsidRPr="008401EE">
              <w:t xml:space="preserve"> vadybinink</w:t>
            </w:r>
            <w:r>
              <w:t>as</w:t>
            </w:r>
            <w:r w:rsidRPr="008401EE">
              <w:t>,</w:t>
            </w:r>
            <w:r>
              <w:t xml:space="preserve"> renginių organizatorius, garso, šviesos, scenos specialistas, meno vadovas </w:t>
            </w:r>
          </w:p>
        </w:tc>
        <w:tc>
          <w:tcPr>
            <w:tcW w:w="1275" w:type="dxa"/>
            <w:vAlign w:val="center"/>
          </w:tcPr>
          <w:p w14:paraId="73FEF418" w14:textId="77777777" w:rsidR="00C503C3" w:rsidRPr="008401EE" w:rsidRDefault="00C503C3" w:rsidP="008A170B">
            <w:pPr>
              <w:jc w:val="center"/>
            </w:pPr>
            <w:r>
              <w:t>3,5</w:t>
            </w:r>
          </w:p>
        </w:tc>
        <w:tc>
          <w:tcPr>
            <w:tcW w:w="1135" w:type="dxa"/>
            <w:vAlign w:val="center"/>
          </w:tcPr>
          <w:p w14:paraId="16E72014" w14:textId="77777777" w:rsidR="00C503C3" w:rsidRPr="008401EE" w:rsidRDefault="00C503C3" w:rsidP="008A170B">
            <w:pPr>
              <w:jc w:val="center"/>
            </w:pPr>
            <w:r>
              <w:t>6</w:t>
            </w:r>
          </w:p>
        </w:tc>
        <w:tc>
          <w:tcPr>
            <w:tcW w:w="1428" w:type="dxa"/>
            <w:vAlign w:val="center"/>
          </w:tcPr>
          <w:p w14:paraId="3BC64D59" w14:textId="77777777" w:rsidR="00C503C3" w:rsidRPr="008401EE" w:rsidRDefault="00EC42A8" w:rsidP="008A170B">
            <w:pPr>
              <w:jc w:val="center"/>
            </w:pPr>
            <w:r>
              <w:t>510</w:t>
            </w:r>
          </w:p>
        </w:tc>
        <w:tc>
          <w:tcPr>
            <w:tcW w:w="1642" w:type="dxa"/>
            <w:vAlign w:val="center"/>
          </w:tcPr>
          <w:p w14:paraId="41921E02" w14:textId="77777777" w:rsidR="00C503C3" w:rsidRDefault="00EC42A8" w:rsidP="005F0D90">
            <w:pPr>
              <w:jc w:val="center"/>
            </w:pPr>
            <w:r>
              <w:t>714</w:t>
            </w:r>
          </w:p>
        </w:tc>
        <w:tc>
          <w:tcPr>
            <w:tcW w:w="1433" w:type="dxa"/>
            <w:vAlign w:val="center"/>
          </w:tcPr>
          <w:p w14:paraId="1D9601EE" w14:textId="77777777" w:rsidR="00C503C3" w:rsidRDefault="007A62AA" w:rsidP="00541546">
            <w:pPr>
              <w:jc w:val="center"/>
            </w:pPr>
            <w:r>
              <w:t>767</w:t>
            </w:r>
          </w:p>
        </w:tc>
      </w:tr>
      <w:tr w:rsidR="00C503C3" w:rsidRPr="008401EE" w14:paraId="7F77466A" w14:textId="77777777" w:rsidTr="00541546">
        <w:tc>
          <w:tcPr>
            <w:tcW w:w="2547" w:type="dxa"/>
          </w:tcPr>
          <w:p w14:paraId="620BBB3F" w14:textId="77777777" w:rsidR="00C503C3" w:rsidRPr="00E15C99" w:rsidRDefault="00C503C3" w:rsidP="008A170B">
            <w:r w:rsidRPr="003C3F1A">
              <w:rPr>
                <w:bCs/>
                <w:i/>
              </w:rPr>
              <w:t>Kiti darbuotojai:</w:t>
            </w:r>
            <w:r>
              <w:rPr>
                <w:bCs/>
              </w:rPr>
              <w:t xml:space="preserve"> </w:t>
            </w:r>
            <w:r>
              <w:t>kompiuterių priežiūros specialistas, kasininkas-prižiūrėtojas</w:t>
            </w:r>
          </w:p>
        </w:tc>
        <w:tc>
          <w:tcPr>
            <w:tcW w:w="1275" w:type="dxa"/>
            <w:vAlign w:val="center"/>
          </w:tcPr>
          <w:p w14:paraId="771B45A3" w14:textId="77777777" w:rsidR="00C503C3" w:rsidRDefault="00C503C3" w:rsidP="008A170B">
            <w:pPr>
              <w:jc w:val="center"/>
            </w:pPr>
            <w:r>
              <w:t>1,25</w:t>
            </w:r>
          </w:p>
        </w:tc>
        <w:tc>
          <w:tcPr>
            <w:tcW w:w="1135" w:type="dxa"/>
            <w:vAlign w:val="center"/>
          </w:tcPr>
          <w:p w14:paraId="6C4B71AD" w14:textId="77777777" w:rsidR="00C503C3" w:rsidRDefault="00C503C3" w:rsidP="008A170B">
            <w:pPr>
              <w:jc w:val="center"/>
            </w:pPr>
            <w:r>
              <w:t>3</w:t>
            </w:r>
          </w:p>
        </w:tc>
        <w:tc>
          <w:tcPr>
            <w:tcW w:w="1428" w:type="dxa"/>
            <w:vAlign w:val="center"/>
          </w:tcPr>
          <w:p w14:paraId="2554F69B" w14:textId="77777777" w:rsidR="00C503C3" w:rsidRPr="008401EE" w:rsidRDefault="00EC42A8" w:rsidP="008A170B">
            <w:pPr>
              <w:jc w:val="center"/>
            </w:pPr>
            <w:r>
              <w:t>208</w:t>
            </w:r>
          </w:p>
        </w:tc>
        <w:tc>
          <w:tcPr>
            <w:tcW w:w="1642" w:type="dxa"/>
            <w:vAlign w:val="center"/>
          </w:tcPr>
          <w:p w14:paraId="47855C6B" w14:textId="77777777" w:rsidR="00C503C3" w:rsidRDefault="00EC42A8" w:rsidP="005F0D90">
            <w:pPr>
              <w:jc w:val="center"/>
            </w:pPr>
            <w:r>
              <w:t>285</w:t>
            </w:r>
          </w:p>
        </w:tc>
        <w:tc>
          <w:tcPr>
            <w:tcW w:w="1433" w:type="dxa"/>
            <w:vAlign w:val="center"/>
          </w:tcPr>
          <w:p w14:paraId="623752FB" w14:textId="77777777" w:rsidR="00C503C3" w:rsidRDefault="007A62AA" w:rsidP="00541546">
            <w:pPr>
              <w:jc w:val="center"/>
            </w:pPr>
            <w:r>
              <w:t>327</w:t>
            </w:r>
          </w:p>
        </w:tc>
      </w:tr>
      <w:tr w:rsidR="00C503C3" w:rsidRPr="008401EE" w14:paraId="41FE852D" w14:textId="77777777" w:rsidTr="00541546">
        <w:tc>
          <w:tcPr>
            <w:tcW w:w="2547" w:type="dxa"/>
          </w:tcPr>
          <w:p w14:paraId="1DD54B8B" w14:textId="77777777" w:rsidR="00C503C3" w:rsidRPr="00E15C99" w:rsidRDefault="00C503C3" w:rsidP="00293E17">
            <w:r>
              <w:rPr>
                <w:bCs/>
                <w:i/>
              </w:rPr>
              <w:t>A</w:t>
            </w:r>
            <w:r w:rsidRPr="0098097B">
              <w:rPr>
                <w:bCs/>
                <w:i/>
              </w:rPr>
              <w:t>ptarnaujantis personalas</w:t>
            </w:r>
            <w:r>
              <w:rPr>
                <w:bCs/>
                <w:i/>
              </w:rPr>
              <w:t xml:space="preserve"> –</w:t>
            </w:r>
            <w:r>
              <w:t>v</w:t>
            </w:r>
            <w:r w:rsidRPr="008401EE">
              <w:t>alytoj</w:t>
            </w:r>
            <w:r>
              <w:t>as</w:t>
            </w:r>
          </w:p>
        </w:tc>
        <w:tc>
          <w:tcPr>
            <w:tcW w:w="1275" w:type="dxa"/>
            <w:vAlign w:val="center"/>
          </w:tcPr>
          <w:p w14:paraId="1ABFD0DD" w14:textId="77777777" w:rsidR="00C503C3" w:rsidRPr="008401EE" w:rsidRDefault="00C503C3" w:rsidP="008A170B">
            <w:pPr>
              <w:jc w:val="center"/>
            </w:pPr>
            <w:r>
              <w:t>1,75</w:t>
            </w:r>
          </w:p>
        </w:tc>
        <w:tc>
          <w:tcPr>
            <w:tcW w:w="1135" w:type="dxa"/>
            <w:vAlign w:val="center"/>
          </w:tcPr>
          <w:p w14:paraId="4BBC7F0F" w14:textId="77777777" w:rsidR="00C503C3" w:rsidRPr="008401EE" w:rsidRDefault="00C503C3" w:rsidP="008A170B">
            <w:pPr>
              <w:jc w:val="center"/>
            </w:pPr>
            <w:r>
              <w:t>2</w:t>
            </w:r>
          </w:p>
        </w:tc>
        <w:tc>
          <w:tcPr>
            <w:tcW w:w="1428" w:type="dxa"/>
            <w:vAlign w:val="center"/>
          </w:tcPr>
          <w:p w14:paraId="196334F3" w14:textId="77777777" w:rsidR="00C503C3" w:rsidRPr="008401EE" w:rsidRDefault="00EC42A8" w:rsidP="008A170B">
            <w:pPr>
              <w:jc w:val="center"/>
            </w:pPr>
            <w:r>
              <w:t>394</w:t>
            </w:r>
          </w:p>
        </w:tc>
        <w:tc>
          <w:tcPr>
            <w:tcW w:w="1642" w:type="dxa"/>
            <w:vAlign w:val="center"/>
          </w:tcPr>
          <w:p w14:paraId="0DF3013B" w14:textId="77777777" w:rsidR="00C503C3" w:rsidRDefault="00EC42A8" w:rsidP="005F0D90">
            <w:pPr>
              <w:jc w:val="center"/>
            </w:pPr>
            <w:r>
              <w:t>515</w:t>
            </w:r>
          </w:p>
        </w:tc>
        <w:tc>
          <w:tcPr>
            <w:tcW w:w="1433" w:type="dxa"/>
            <w:vAlign w:val="center"/>
          </w:tcPr>
          <w:p w14:paraId="3E82FBB1" w14:textId="77777777" w:rsidR="00C503C3" w:rsidRDefault="007A62AA" w:rsidP="00541546">
            <w:pPr>
              <w:jc w:val="center"/>
            </w:pPr>
            <w:r>
              <w:t>520</w:t>
            </w:r>
          </w:p>
        </w:tc>
      </w:tr>
      <w:bookmarkEnd w:id="0"/>
    </w:tbl>
    <w:p w14:paraId="5C47DAF3" w14:textId="77777777" w:rsidR="00140C86" w:rsidRDefault="00140C86" w:rsidP="001857DA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A780AE" w14:textId="5AAA4BA8" w:rsidR="00F93ED4" w:rsidRDefault="00015899" w:rsidP="00BD1407">
      <w:pPr>
        <w:spacing w:before="120"/>
        <w:ind w:firstLine="1134"/>
        <w:jc w:val="both"/>
      </w:pPr>
      <w:r>
        <w:t xml:space="preserve">2.1.4. </w:t>
      </w:r>
      <w:r w:rsidRPr="00015899">
        <w:t>Valdomas turtas (materialinė bazė ir jos būklė):</w:t>
      </w:r>
      <w:r w:rsidR="00DE6E52">
        <w:t xml:space="preserve"> </w:t>
      </w:r>
      <w:r w:rsidR="004E4EEC">
        <w:t>pastatas</w:t>
      </w:r>
      <w:r w:rsidR="00A56272">
        <w:t xml:space="preserve"> </w:t>
      </w:r>
      <w:r w:rsidR="00A56272" w:rsidRPr="00015899">
        <w:t>L. Rėzos g. 8 B, Nering</w:t>
      </w:r>
      <w:r w:rsidR="00677218">
        <w:t>oje</w:t>
      </w:r>
      <w:r w:rsidR="00A56272">
        <w:t xml:space="preserve"> (</w:t>
      </w:r>
      <w:r w:rsidR="00A56272" w:rsidRPr="00A56272">
        <w:t>284,04</w:t>
      </w:r>
      <w:r w:rsidR="00A56272">
        <w:t xml:space="preserve"> kv. m)</w:t>
      </w:r>
      <w:r w:rsidRPr="00015899">
        <w:t>;</w:t>
      </w:r>
      <w:r w:rsidR="00DE6E52">
        <w:t xml:space="preserve"> </w:t>
      </w:r>
      <w:r w:rsidRPr="00015899">
        <w:t xml:space="preserve">koncertų salė </w:t>
      </w:r>
      <w:r w:rsidR="00882D9B" w:rsidRPr="00015899">
        <w:t>L. Rėzos g. 54 C-9, Nering</w:t>
      </w:r>
      <w:r w:rsidR="00677218">
        <w:t>oje</w:t>
      </w:r>
      <w:r w:rsidR="00882D9B" w:rsidRPr="00015899">
        <w:t xml:space="preserve"> </w:t>
      </w:r>
      <w:r w:rsidRPr="00015899">
        <w:t>(</w:t>
      </w:r>
      <w:r w:rsidR="00A56272" w:rsidRPr="00A56272">
        <w:t>283,43</w:t>
      </w:r>
      <w:r w:rsidR="00A56272">
        <w:t xml:space="preserve"> kv. m</w:t>
      </w:r>
      <w:r w:rsidRPr="00015899">
        <w:t xml:space="preserve">); lauko estrada </w:t>
      </w:r>
      <w:r w:rsidR="00882D9B" w:rsidRPr="00015899">
        <w:t>L. Rėzos g. 54 C-9, Nering</w:t>
      </w:r>
      <w:r w:rsidR="00677218">
        <w:t>oje</w:t>
      </w:r>
      <w:r w:rsidR="00882D9B" w:rsidRPr="00015899">
        <w:t xml:space="preserve"> </w:t>
      </w:r>
      <w:r w:rsidRPr="00015899">
        <w:t>(</w:t>
      </w:r>
      <w:r w:rsidR="00A56272">
        <w:t>692,00 kv. m</w:t>
      </w:r>
      <w:r w:rsidRPr="00015899">
        <w:t>)</w:t>
      </w:r>
      <w:r w:rsidR="00882D9B">
        <w:t>.</w:t>
      </w:r>
    </w:p>
    <w:p w14:paraId="74007C55" w14:textId="77777777" w:rsidR="002B2722" w:rsidRDefault="00F93ED4" w:rsidP="002B2722">
      <w:pPr>
        <w:ind w:firstLine="1134"/>
        <w:jc w:val="both"/>
      </w:pPr>
      <w:r w:rsidRPr="00895461">
        <w:t xml:space="preserve">Bendra </w:t>
      </w:r>
      <w:r>
        <w:t>pastatų būklė</w:t>
      </w:r>
      <w:r w:rsidRPr="00895461">
        <w:t xml:space="preserve"> yra </w:t>
      </w:r>
      <w:r w:rsidR="0084772E">
        <w:t>patenkinama</w:t>
      </w:r>
      <w:r>
        <w:t xml:space="preserve">, kasmet atliekamas </w:t>
      </w:r>
      <w:r w:rsidR="00B33837">
        <w:t>smulkus patalpų</w:t>
      </w:r>
      <w:r>
        <w:t xml:space="preserve"> remontas. </w:t>
      </w:r>
    </w:p>
    <w:p w14:paraId="51AEC303" w14:textId="77777777" w:rsidR="00F93ED4" w:rsidRPr="00F93ED4" w:rsidRDefault="00F93ED4" w:rsidP="00F93ED4">
      <w:pPr>
        <w:pStyle w:val="Sraopastraipa"/>
        <w:tabs>
          <w:tab w:val="left" w:pos="709"/>
          <w:tab w:val="left" w:pos="851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387C26ED" w14:textId="7CB3D9A2" w:rsidR="001119F1" w:rsidRPr="00657E2B" w:rsidRDefault="001119F1" w:rsidP="00EB517E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57E2B">
        <w:rPr>
          <w:rFonts w:ascii="Times New Roman" w:hAnsi="Times New Roman" w:cs="Times New Roman"/>
          <w:sz w:val="24"/>
          <w:szCs w:val="24"/>
          <w:lang w:eastAsia="lt-LT"/>
        </w:rPr>
        <w:lastRenderedPageBreak/>
        <w:t xml:space="preserve">Ilgalaikis turtas pagal grupes (likutine verte): programinės įrangos ir jos licencijų vertė laikotarpio pabaigoje </w:t>
      </w:r>
      <w:r w:rsidR="00543802">
        <w:rPr>
          <w:rFonts w:ascii="Times New Roman" w:hAnsi="Times New Roman" w:cs="Times New Roman"/>
          <w:sz w:val="24"/>
          <w:szCs w:val="24"/>
          <w:lang w:eastAsia="lt-LT"/>
        </w:rPr>
        <w:t>0</w:t>
      </w:r>
      <w:r w:rsidRPr="00657E2B">
        <w:rPr>
          <w:rFonts w:ascii="Times New Roman" w:hAnsi="Times New Roman" w:cs="Times New Roman"/>
          <w:sz w:val="24"/>
          <w:szCs w:val="24"/>
          <w:lang w:eastAsia="lt-LT"/>
        </w:rPr>
        <w:t xml:space="preserve"> Eur, kitų infrastruktūros statinių (estrados denginys) vertė – </w:t>
      </w:r>
      <w:r w:rsidR="00657E2B" w:rsidRPr="00657E2B">
        <w:rPr>
          <w:rFonts w:ascii="Times New Roman" w:hAnsi="Times New Roman" w:cs="Times New Roman"/>
          <w:sz w:val="24"/>
          <w:szCs w:val="24"/>
          <w:lang w:eastAsia="lt-LT"/>
        </w:rPr>
        <w:t>4</w:t>
      </w:r>
      <w:r w:rsidR="006B1B93">
        <w:rPr>
          <w:rFonts w:ascii="Times New Roman" w:hAnsi="Times New Roman" w:cs="Times New Roman"/>
          <w:sz w:val="24"/>
          <w:szCs w:val="24"/>
          <w:lang w:eastAsia="lt-LT"/>
        </w:rPr>
        <w:t>1 954</w:t>
      </w:r>
      <w:r w:rsidRPr="00657E2B">
        <w:rPr>
          <w:rFonts w:ascii="Times New Roman" w:hAnsi="Times New Roman" w:cs="Times New Roman"/>
          <w:sz w:val="24"/>
          <w:szCs w:val="24"/>
          <w:lang w:eastAsia="lt-LT"/>
        </w:rPr>
        <w:t xml:space="preserve"> Eur, kitų mašinų ir įrengimų vertė – </w:t>
      </w:r>
      <w:r w:rsidR="006B1B93">
        <w:rPr>
          <w:rFonts w:ascii="Times New Roman" w:hAnsi="Times New Roman" w:cs="Times New Roman"/>
          <w:sz w:val="24"/>
          <w:szCs w:val="24"/>
          <w:lang w:eastAsia="lt-LT"/>
        </w:rPr>
        <w:t>682</w:t>
      </w:r>
      <w:r w:rsidRPr="00657E2B">
        <w:rPr>
          <w:rFonts w:ascii="Times New Roman" w:hAnsi="Times New Roman" w:cs="Times New Roman"/>
          <w:sz w:val="24"/>
          <w:szCs w:val="24"/>
          <w:lang w:eastAsia="lt-LT"/>
        </w:rPr>
        <w:t xml:space="preserve"> Eur, kito ilgalaikio materialiojo turto – </w:t>
      </w:r>
      <w:r w:rsidR="006B1B93">
        <w:rPr>
          <w:rFonts w:ascii="Times New Roman" w:hAnsi="Times New Roman" w:cs="Times New Roman"/>
          <w:sz w:val="24"/>
          <w:szCs w:val="24"/>
          <w:lang w:eastAsia="lt-LT"/>
        </w:rPr>
        <w:t>6 746</w:t>
      </w:r>
      <w:r w:rsidRPr="00657E2B">
        <w:rPr>
          <w:rFonts w:ascii="Times New Roman" w:hAnsi="Times New Roman" w:cs="Times New Roman"/>
          <w:sz w:val="24"/>
          <w:szCs w:val="24"/>
          <w:lang w:eastAsia="lt-LT"/>
        </w:rPr>
        <w:t xml:space="preserve"> Eur. 20</w:t>
      </w:r>
      <w:r w:rsidR="006B1B93">
        <w:rPr>
          <w:rFonts w:ascii="Times New Roman" w:hAnsi="Times New Roman" w:cs="Times New Roman"/>
          <w:sz w:val="24"/>
          <w:szCs w:val="24"/>
          <w:lang w:eastAsia="lt-LT"/>
        </w:rPr>
        <w:t>20</w:t>
      </w:r>
      <w:r w:rsidRPr="00657E2B">
        <w:rPr>
          <w:rFonts w:ascii="Times New Roman" w:hAnsi="Times New Roman" w:cs="Times New Roman"/>
          <w:sz w:val="24"/>
          <w:szCs w:val="24"/>
          <w:lang w:eastAsia="lt-LT"/>
        </w:rPr>
        <w:t xml:space="preserve"> m. gruodžio 31 d. visiškai nudėvėto, tačiau vis dar naudojamo Centro veikloje materialaus ilgalaikio turto įsigijimo savikaina sudaro </w:t>
      </w:r>
      <w:r w:rsidR="00657E2B" w:rsidRPr="00657E2B">
        <w:rPr>
          <w:rFonts w:ascii="Times New Roman" w:hAnsi="Times New Roman" w:cs="Times New Roman"/>
          <w:sz w:val="24"/>
          <w:szCs w:val="24"/>
          <w:lang w:eastAsia="lt-LT"/>
        </w:rPr>
        <w:t>8</w:t>
      </w:r>
      <w:r w:rsidR="00EC78F6">
        <w:rPr>
          <w:rFonts w:ascii="Times New Roman" w:hAnsi="Times New Roman" w:cs="Times New Roman"/>
          <w:sz w:val="24"/>
          <w:szCs w:val="24"/>
          <w:lang w:eastAsia="lt-LT"/>
        </w:rPr>
        <w:t>4 679</w:t>
      </w:r>
      <w:r w:rsidRPr="00657E2B">
        <w:rPr>
          <w:rFonts w:ascii="Times New Roman" w:hAnsi="Times New Roman" w:cs="Times New Roman"/>
          <w:sz w:val="24"/>
          <w:szCs w:val="24"/>
          <w:lang w:eastAsia="lt-LT"/>
        </w:rPr>
        <w:t xml:space="preserve"> Eur, iš jų: kitas ilgalaikis nematerialusis turtas – </w:t>
      </w:r>
      <w:r w:rsidR="00BD69A1">
        <w:rPr>
          <w:rFonts w:ascii="Times New Roman" w:hAnsi="Times New Roman" w:cs="Times New Roman"/>
          <w:sz w:val="24"/>
          <w:szCs w:val="24"/>
          <w:lang w:eastAsia="lt-LT"/>
        </w:rPr>
        <w:t>1 4</w:t>
      </w:r>
      <w:r w:rsidRPr="00657E2B">
        <w:rPr>
          <w:rFonts w:ascii="Times New Roman" w:hAnsi="Times New Roman" w:cs="Times New Roman"/>
          <w:sz w:val="24"/>
          <w:szCs w:val="24"/>
          <w:lang w:eastAsia="lt-LT"/>
        </w:rPr>
        <w:t>69 Eur; kitų mašinų ir įrenginių – 14 7</w:t>
      </w:r>
      <w:r w:rsidR="00657E2B" w:rsidRPr="00657E2B">
        <w:rPr>
          <w:rFonts w:ascii="Times New Roman" w:hAnsi="Times New Roman" w:cs="Times New Roman"/>
          <w:sz w:val="24"/>
          <w:szCs w:val="24"/>
          <w:lang w:eastAsia="lt-LT"/>
        </w:rPr>
        <w:t>90</w:t>
      </w:r>
      <w:r w:rsidRPr="00657E2B">
        <w:rPr>
          <w:rFonts w:ascii="Times New Roman" w:hAnsi="Times New Roman" w:cs="Times New Roman"/>
          <w:sz w:val="24"/>
          <w:szCs w:val="24"/>
          <w:lang w:eastAsia="lt-LT"/>
        </w:rPr>
        <w:t xml:space="preserve"> Eur; baldai – 15 129  Eur ir kitas ilgalaikis materialusis turtas –  </w:t>
      </w:r>
      <w:r w:rsidR="00657E2B" w:rsidRPr="00657E2B">
        <w:rPr>
          <w:rFonts w:ascii="Times New Roman" w:hAnsi="Times New Roman" w:cs="Times New Roman"/>
          <w:sz w:val="24"/>
          <w:szCs w:val="24"/>
          <w:lang w:eastAsia="lt-LT"/>
        </w:rPr>
        <w:t>53</w:t>
      </w:r>
      <w:r w:rsidR="00677218">
        <w:rPr>
          <w:rFonts w:ascii="Times New Roman" w:hAnsi="Times New Roman" w:cs="Times New Roman"/>
          <w:sz w:val="24"/>
          <w:szCs w:val="24"/>
          <w:lang w:eastAsia="lt-LT"/>
        </w:rPr>
        <w:t> </w:t>
      </w:r>
      <w:r w:rsidR="00657E2B" w:rsidRPr="00657E2B">
        <w:rPr>
          <w:rFonts w:ascii="Times New Roman" w:hAnsi="Times New Roman" w:cs="Times New Roman"/>
          <w:sz w:val="24"/>
          <w:szCs w:val="24"/>
          <w:lang w:eastAsia="lt-LT"/>
        </w:rPr>
        <w:t>291</w:t>
      </w:r>
      <w:r w:rsidR="00677218">
        <w:rPr>
          <w:rFonts w:ascii="Times New Roman" w:hAnsi="Times New Roman" w:cs="Times New Roman"/>
          <w:sz w:val="24"/>
          <w:szCs w:val="24"/>
          <w:lang w:eastAsia="lt-LT"/>
        </w:rPr>
        <w:t> </w:t>
      </w:r>
      <w:r w:rsidRPr="00657E2B">
        <w:rPr>
          <w:rFonts w:ascii="Times New Roman" w:hAnsi="Times New Roman" w:cs="Times New Roman"/>
          <w:sz w:val="24"/>
          <w:szCs w:val="24"/>
          <w:lang w:eastAsia="lt-LT"/>
        </w:rPr>
        <w:t xml:space="preserve">Eur. </w:t>
      </w:r>
    </w:p>
    <w:p w14:paraId="0DEE2DF7" w14:textId="77777777" w:rsidR="00BD1407" w:rsidRDefault="00BD1407" w:rsidP="00BD1407">
      <w:pPr>
        <w:ind w:firstLine="1134"/>
        <w:jc w:val="both"/>
        <w:rPr>
          <w:u w:val="single"/>
        </w:rPr>
      </w:pPr>
    </w:p>
    <w:p w14:paraId="0566045F" w14:textId="77777777" w:rsidR="00573E10" w:rsidRDefault="00882D9B" w:rsidP="00BD1407">
      <w:pPr>
        <w:ind w:firstLine="1134"/>
        <w:jc w:val="both"/>
        <w:rPr>
          <w:u w:val="single"/>
        </w:rPr>
      </w:pPr>
      <w:r w:rsidRPr="00D0714E">
        <w:rPr>
          <w:u w:val="single"/>
        </w:rPr>
        <w:t>2.2. Pagrindiniai pasiekimai – uždavinių įgyvendinimas pagal nustatytus metinių uždavinių siektinus rodiklius:</w:t>
      </w:r>
    </w:p>
    <w:p w14:paraId="35C2675C" w14:textId="77777777" w:rsidR="005850CD" w:rsidRPr="00D0714E" w:rsidRDefault="005850CD" w:rsidP="00BD1407">
      <w:pPr>
        <w:ind w:firstLine="1134"/>
        <w:jc w:val="both"/>
      </w:pPr>
    </w:p>
    <w:p w14:paraId="7E040CC2" w14:textId="77777777" w:rsidR="00623BC3" w:rsidRPr="002B2722" w:rsidRDefault="002B2722" w:rsidP="00A32E47">
      <w:pPr>
        <w:pStyle w:val="Sraopastraipa"/>
        <w:tabs>
          <w:tab w:val="left" w:pos="34"/>
        </w:tabs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817D98" w:rsidRPr="002B2722">
        <w:rPr>
          <w:rFonts w:ascii="Times New Roman" w:hAnsi="Times New Roman" w:cs="Times New Roman"/>
        </w:rPr>
        <w:t>2.</w:t>
      </w:r>
      <w:r w:rsidR="00AA6A33" w:rsidRPr="002B2722">
        <w:rPr>
          <w:rFonts w:ascii="Times New Roman" w:hAnsi="Times New Roman" w:cs="Times New Roman"/>
        </w:rPr>
        <w:t>2</w:t>
      </w:r>
      <w:r w:rsidR="00817D98" w:rsidRPr="002B2722">
        <w:rPr>
          <w:rFonts w:ascii="Times New Roman" w:hAnsi="Times New Roman" w:cs="Times New Roman"/>
        </w:rPr>
        <w:t>.</w:t>
      </w:r>
      <w:r w:rsidR="00AA6A33" w:rsidRPr="002B2722">
        <w:rPr>
          <w:rFonts w:ascii="Times New Roman" w:hAnsi="Times New Roman" w:cs="Times New Roman"/>
        </w:rPr>
        <w:t>1</w:t>
      </w:r>
      <w:r w:rsidR="00817D98" w:rsidRPr="002B2722">
        <w:rPr>
          <w:rFonts w:ascii="Times New Roman" w:hAnsi="Times New Roman" w:cs="Times New Roman"/>
        </w:rPr>
        <w:t>.</w:t>
      </w:r>
      <w:r w:rsidR="00D77681" w:rsidRPr="002B2722">
        <w:rPr>
          <w:rFonts w:ascii="Times New Roman" w:hAnsi="Times New Roman" w:cs="Times New Roman"/>
        </w:rPr>
        <w:t xml:space="preserve"> </w:t>
      </w:r>
      <w:r w:rsidR="005850CD" w:rsidRPr="002B2722">
        <w:rPr>
          <w:rFonts w:ascii="Times New Roman" w:hAnsi="Times New Roman" w:cs="Times New Roman"/>
          <w:sz w:val="24"/>
          <w:szCs w:val="24"/>
        </w:rPr>
        <w:t xml:space="preserve">Centro svarbiausi renginiai 2020 metais. </w:t>
      </w:r>
    </w:p>
    <w:p w14:paraId="7C6A7498" w14:textId="46A178F3" w:rsidR="00623BC3" w:rsidRPr="002B2722" w:rsidRDefault="002B2722" w:rsidP="00A32E47">
      <w:pPr>
        <w:pStyle w:val="Sraopastraipa"/>
        <w:tabs>
          <w:tab w:val="left" w:pos="34"/>
        </w:tabs>
        <w:ind w:left="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ab/>
      </w:r>
      <w:r w:rsidR="00165E8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L</w:t>
      </w:r>
      <w:r w:rsidR="0067721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ietuvos Respublikos k</w:t>
      </w:r>
      <w:r w:rsidR="00E713AD" w:rsidRPr="002B272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ultūros ministro Mindaugo Kvietkausko įsakymu Liudviko Rėzos kultūros centrui paskirta geriausio antrosios kategorijos kultūros centro premija. Kultūros ministerija skyrė premiją už pastarųjų penkerių metų aktyvią, kūrybingą ir novatorišką veiklą.</w:t>
      </w:r>
    </w:p>
    <w:p w14:paraId="1B07F0D2" w14:textId="3BA9EAF4" w:rsidR="00A32E47" w:rsidRPr="002B2722" w:rsidRDefault="002B2722" w:rsidP="00A32E47">
      <w:pPr>
        <w:pStyle w:val="Sraopastraipa"/>
        <w:tabs>
          <w:tab w:val="left" w:pos="34"/>
        </w:tabs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50CD" w:rsidRPr="002B2722">
        <w:rPr>
          <w:rFonts w:ascii="Times New Roman" w:hAnsi="Times New Roman" w:cs="Times New Roman"/>
          <w:sz w:val="24"/>
          <w:szCs w:val="24"/>
        </w:rPr>
        <w:t xml:space="preserve">Išleistas naujas D. Junevičiaus ir N. Strakauskaitės leidinys </w:t>
      </w:r>
      <w:r w:rsidR="005850CD" w:rsidRPr="002B2722">
        <w:rPr>
          <w:rStyle w:val="Grietas"/>
          <w:rFonts w:ascii="Times New Roman" w:hAnsi="Times New Roman" w:cs="Times New Roman"/>
          <w:b w:val="0"/>
          <w:sz w:val="24"/>
          <w:szCs w:val="24"/>
        </w:rPr>
        <w:t>„Kuršių nerija anno 1900: Tilžės fotografo Roberto Minzloffo (1855–1930) stereoskopinių fotografijų rinkinys „Die Kurische Nehrung“</w:t>
      </w:r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, kuris buvo </w:t>
      </w:r>
      <w:r w:rsidR="005850CD" w:rsidRPr="002B2722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pristatytas </w:t>
      </w:r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>Nidoje</w:t>
      </w:r>
      <w:r w:rsidR="009B5A60" w:rsidRPr="002B2722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ir </w:t>
      </w:r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>Juodkrantėje</w:t>
      </w:r>
      <w:r w:rsidR="00A32E47" w:rsidRPr="002B2722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EF59F0">
        <w:rPr>
          <w:rStyle w:val="Grietas"/>
          <w:rFonts w:ascii="Times New Roman" w:hAnsi="Times New Roman" w:cs="Times New Roman"/>
          <w:b w:val="0"/>
          <w:sz w:val="24"/>
          <w:szCs w:val="24"/>
        </w:rPr>
        <w:t>Knyga buvo įtraukta į „15</w:t>
      </w:r>
      <w:r w:rsidR="0067721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F59F0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min.“ portalo sudarytą geriausių 2020 m. negrožinių knygų Top 21. </w:t>
      </w:r>
      <w:r w:rsidR="00A32E47" w:rsidRPr="002B2722">
        <w:rPr>
          <w:rStyle w:val="Grietas"/>
          <w:rFonts w:ascii="Times New Roman" w:hAnsi="Times New Roman" w:cs="Times New Roman"/>
          <w:b w:val="0"/>
          <w:sz w:val="24"/>
          <w:szCs w:val="24"/>
        </w:rPr>
        <w:t>Išleisti juodkrantiškio Česlovo Stonio prisiminimai „Taip buvo“</w:t>
      </w:r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A32E47" w:rsidRPr="002B2722">
        <w:rPr>
          <w:rFonts w:ascii="Times New Roman" w:hAnsi="Times New Roman" w:cs="Times New Roman"/>
          <w:sz w:val="24"/>
          <w:szCs w:val="24"/>
        </w:rPr>
        <w:t>Išleista folkloro ansamblio „Aušrinė“ kompaktinė plokštelė „Lėkė volungė“</w:t>
      </w:r>
      <w:r>
        <w:rPr>
          <w:rFonts w:ascii="Times New Roman" w:hAnsi="Times New Roman" w:cs="Times New Roman"/>
          <w:sz w:val="24"/>
          <w:szCs w:val="24"/>
        </w:rPr>
        <w:t>, kurioje skamba</w:t>
      </w:r>
      <w:r w:rsidR="00A32E47" w:rsidRPr="002B2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A32E47" w:rsidRPr="002B2722">
        <w:rPr>
          <w:rFonts w:ascii="Times New Roman" w:hAnsi="Times New Roman" w:cs="Times New Roman"/>
          <w:sz w:val="24"/>
          <w:szCs w:val="24"/>
        </w:rPr>
        <w:t>ainos</w:t>
      </w:r>
      <w:r w:rsidR="00677218">
        <w:rPr>
          <w:rFonts w:ascii="Times New Roman" w:hAnsi="Times New Roman" w:cs="Times New Roman"/>
          <w:sz w:val="24"/>
          <w:szCs w:val="24"/>
        </w:rPr>
        <w:t>,</w:t>
      </w:r>
      <w:r w:rsidR="00A32E47" w:rsidRPr="002B2722">
        <w:rPr>
          <w:rFonts w:ascii="Times New Roman" w:hAnsi="Times New Roman" w:cs="Times New Roman"/>
          <w:sz w:val="24"/>
          <w:szCs w:val="24"/>
        </w:rPr>
        <w:t xml:space="preserve"> parinktos remiantis Martyno Liudviko Rėzos ir baltistikos pradininko Adalberto Becenbergerio tautosakiniu palikimu.</w:t>
      </w:r>
      <w:r w:rsidR="0002128F" w:rsidRPr="002B2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E56AC" w14:textId="77777777" w:rsidR="00B33B8A" w:rsidRDefault="00B33B8A" w:rsidP="00B33B8A">
      <w:pPr>
        <w:pStyle w:val="Sraopastraipa"/>
        <w:tabs>
          <w:tab w:val="left" w:pos="34"/>
        </w:tabs>
        <w:ind w:left="34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color w:val="4472C4" w:themeColor="accent5"/>
          <w:sz w:val="24"/>
          <w:szCs w:val="24"/>
        </w:rPr>
        <w:tab/>
      </w:r>
      <w:r w:rsidR="0002128F" w:rsidRPr="00B33B8A">
        <w:rPr>
          <w:rFonts w:ascii="Times New Roman" w:hAnsi="Times New Roman" w:cs="Times New Roman"/>
          <w:sz w:val="24"/>
          <w:szCs w:val="24"/>
        </w:rPr>
        <w:t>Tautodailės metams paminėti surengtos t</w:t>
      </w:r>
      <w:r w:rsidR="00DE7EDC">
        <w:rPr>
          <w:rFonts w:ascii="Times New Roman" w:hAnsi="Times New Roman" w:cs="Times New Roman"/>
          <w:sz w:val="24"/>
          <w:szCs w:val="24"/>
        </w:rPr>
        <w:t>r</w:t>
      </w:r>
      <w:r w:rsidR="0002128F" w:rsidRPr="00B33B8A">
        <w:rPr>
          <w:rFonts w:ascii="Times New Roman" w:hAnsi="Times New Roman" w:cs="Times New Roman"/>
          <w:sz w:val="24"/>
          <w:szCs w:val="24"/>
        </w:rPr>
        <w:t>ys Mažosios Lietuvos tautodailininkų parodos</w:t>
      </w:r>
      <w:r w:rsidR="00E61B74" w:rsidRPr="00B33B8A">
        <w:rPr>
          <w:rFonts w:ascii="Times New Roman" w:hAnsi="Times New Roman" w:cs="Times New Roman"/>
          <w:sz w:val="24"/>
          <w:szCs w:val="24"/>
        </w:rPr>
        <w:t xml:space="preserve"> su edukacijomis</w:t>
      </w:r>
      <w:r w:rsidR="0002128F" w:rsidRPr="00B33B8A">
        <w:rPr>
          <w:rFonts w:ascii="Times New Roman" w:hAnsi="Times New Roman" w:cs="Times New Roman"/>
          <w:sz w:val="24"/>
          <w:szCs w:val="24"/>
        </w:rPr>
        <w:t>: Angelės ir Vytauto Raukčių</w:t>
      </w:r>
      <w:r w:rsidR="00E61B74" w:rsidRPr="00B33B8A">
        <w:rPr>
          <w:rFonts w:ascii="Times New Roman" w:hAnsi="Times New Roman" w:cs="Times New Roman"/>
          <w:sz w:val="24"/>
          <w:szCs w:val="24"/>
        </w:rPr>
        <w:t xml:space="preserve"> medžio drožinių</w:t>
      </w:r>
      <w:r w:rsidR="0002128F" w:rsidRPr="00B33B8A">
        <w:rPr>
          <w:rFonts w:ascii="Times New Roman" w:hAnsi="Times New Roman" w:cs="Times New Roman"/>
          <w:sz w:val="24"/>
          <w:szCs w:val="24"/>
        </w:rPr>
        <w:t xml:space="preserve">, Birutės Servienės </w:t>
      </w:r>
      <w:r w:rsidR="00E61B74" w:rsidRPr="00B33B8A">
        <w:rPr>
          <w:rFonts w:ascii="Times New Roman" w:hAnsi="Times New Roman" w:cs="Times New Roman"/>
          <w:sz w:val="24"/>
          <w:szCs w:val="24"/>
        </w:rPr>
        <w:t xml:space="preserve">karpinių ir </w:t>
      </w:r>
      <w:r>
        <w:rPr>
          <w:rFonts w:ascii="Times New Roman" w:hAnsi="Times New Roman" w:cs="Times New Roman"/>
          <w:sz w:val="24"/>
          <w:szCs w:val="24"/>
        </w:rPr>
        <w:t>d</w:t>
      </w:r>
      <w:r w:rsidR="00E61B74" w:rsidRPr="00B33B8A">
        <w:rPr>
          <w:rFonts w:ascii="Times New Roman" w:hAnsi="Times New Roman" w:cs="Times New Roman"/>
          <w:sz w:val="24"/>
          <w:szCs w:val="24"/>
        </w:rPr>
        <w:t>r. Elenos Matulionienės delmonų paroda.</w:t>
      </w:r>
      <w:r w:rsidR="00E61B7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</w:p>
    <w:p w14:paraId="2D3FC8AC" w14:textId="77777777" w:rsidR="00623BC3" w:rsidRPr="00B33B8A" w:rsidRDefault="00B33B8A" w:rsidP="00B33B8A">
      <w:pPr>
        <w:pStyle w:val="Sraopastraipa"/>
        <w:tabs>
          <w:tab w:val="left" w:pos="34"/>
        </w:tabs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472C4" w:themeColor="accent5"/>
          <w:sz w:val="24"/>
          <w:szCs w:val="24"/>
        </w:rPr>
        <w:tab/>
      </w:r>
      <w:r w:rsidRPr="00B33B8A">
        <w:rPr>
          <w:rFonts w:ascii="Times New Roman" w:hAnsi="Times New Roman" w:cs="Times New Roman"/>
          <w:sz w:val="24"/>
          <w:szCs w:val="24"/>
        </w:rPr>
        <w:t>Didelio susidomėjimo susilaukė O</w:t>
      </w:r>
      <w:r w:rsidR="00623BC3" w:rsidRPr="00B33B8A">
        <w:rPr>
          <w:rFonts w:ascii="Times New Roman" w:hAnsi="Times New Roman" w:cs="Times New Roman"/>
          <w:sz w:val="24"/>
          <w:szCs w:val="24"/>
        </w:rPr>
        <w:t xml:space="preserve">kupacijų ir laisvės kovų muziejaus istorinė paroda </w:t>
      </w:r>
      <w:r w:rsidRPr="00B33B8A">
        <w:rPr>
          <w:rFonts w:ascii="Times New Roman" w:hAnsi="Times New Roman" w:cs="Times New Roman"/>
          <w:sz w:val="24"/>
          <w:szCs w:val="24"/>
        </w:rPr>
        <w:t>„</w:t>
      </w:r>
      <w:r w:rsidR="00623BC3" w:rsidRPr="00B33B8A">
        <w:rPr>
          <w:rFonts w:ascii="Times New Roman" w:hAnsi="Times New Roman" w:cs="Times New Roman"/>
          <w:sz w:val="24"/>
          <w:szCs w:val="24"/>
        </w:rPr>
        <w:t>Vilko vaikai: duonos keliu iš Ry</w:t>
      </w:r>
      <w:r w:rsidRPr="00B33B8A">
        <w:rPr>
          <w:rFonts w:ascii="Times New Roman" w:hAnsi="Times New Roman" w:cs="Times New Roman"/>
          <w:sz w:val="24"/>
          <w:szCs w:val="24"/>
        </w:rPr>
        <w:t>tų Prūsijos į Lietuvą 1945–1948“</w:t>
      </w:r>
    </w:p>
    <w:p w14:paraId="03022D34" w14:textId="30B7B3C1" w:rsidR="00175741" w:rsidRDefault="00B33B8A" w:rsidP="00A32E47">
      <w:pPr>
        <w:pStyle w:val="Sraopastraipa"/>
        <w:tabs>
          <w:tab w:val="left" w:pos="34"/>
        </w:tabs>
        <w:ind w:left="34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color w:val="4472C4" w:themeColor="accent5"/>
          <w:sz w:val="24"/>
          <w:szCs w:val="24"/>
        </w:rPr>
        <w:tab/>
      </w:r>
      <w:r w:rsidR="00E61B74" w:rsidRPr="00B33B8A">
        <w:rPr>
          <w:rFonts w:ascii="Times New Roman" w:hAnsi="Times New Roman" w:cs="Times New Roman"/>
          <w:sz w:val="24"/>
          <w:szCs w:val="24"/>
        </w:rPr>
        <w:t xml:space="preserve">Surengtos tradicinės šventės: </w:t>
      </w:r>
      <w:r w:rsidR="00175741" w:rsidRPr="00B33B8A">
        <w:rPr>
          <w:rFonts w:ascii="Times New Roman" w:hAnsi="Times New Roman" w:cs="Times New Roman"/>
          <w:sz w:val="24"/>
          <w:szCs w:val="24"/>
        </w:rPr>
        <w:t>Švytinčių sakmių kalnas, Juodkrantės kurorto dienos</w:t>
      </w:r>
      <w:r w:rsidRPr="00B33B8A">
        <w:rPr>
          <w:rFonts w:ascii="Times New Roman" w:hAnsi="Times New Roman" w:cs="Times New Roman"/>
          <w:sz w:val="24"/>
          <w:szCs w:val="24"/>
        </w:rPr>
        <w:t>,</w:t>
      </w:r>
      <w:r w:rsidR="00175741" w:rsidRPr="00B33B8A">
        <w:rPr>
          <w:rFonts w:ascii="Times New Roman" w:hAnsi="Times New Roman" w:cs="Times New Roman"/>
          <w:sz w:val="24"/>
          <w:szCs w:val="24"/>
        </w:rPr>
        <w:t xml:space="preserve"> XIII-oji folkloro šventė ,,Pūsk, vėjuži!“</w:t>
      </w:r>
      <w:r w:rsidRPr="00B33B8A">
        <w:rPr>
          <w:rFonts w:ascii="Times New Roman" w:hAnsi="Times New Roman" w:cs="Times New Roman"/>
          <w:sz w:val="24"/>
          <w:szCs w:val="24"/>
        </w:rPr>
        <w:t>. Kartu su V</w:t>
      </w:r>
      <w:r w:rsidR="00677218">
        <w:rPr>
          <w:rFonts w:ascii="Times New Roman" w:hAnsi="Times New Roman" w:cs="Times New Roman"/>
          <w:sz w:val="24"/>
          <w:szCs w:val="24"/>
        </w:rPr>
        <w:t>isuomenine organizacija</w:t>
      </w:r>
      <w:r w:rsidRPr="00B33B8A">
        <w:rPr>
          <w:rFonts w:ascii="Times New Roman" w:hAnsi="Times New Roman" w:cs="Times New Roman"/>
          <w:sz w:val="24"/>
          <w:szCs w:val="24"/>
        </w:rPr>
        <w:t xml:space="preserve"> „Lietučiukės“ surengtas tarptautinis vaikų ir jaunimo festivalis-konkursas „Baltic Voice“, su Lietuvos filharmonija – XXII-asis </w:t>
      </w:r>
      <w:r w:rsidR="005B5561">
        <w:rPr>
          <w:rFonts w:ascii="Times New Roman" w:hAnsi="Times New Roman" w:cs="Times New Roman"/>
          <w:sz w:val="24"/>
          <w:szCs w:val="24"/>
        </w:rPr>
        <w:t>t</w:t>
      </w:r>
      <w:r w:rsidRPr="00B33B8A">
        <w:rPr>
          <w:rFonts w:ascii="Times New Roman" w:hAnsi="Times New Roman" w:cs="Times New Roman"/>
          <w:sz w:val="24"/>
          <w:szCs w:val="24"/>
        </w:rPr>
        <w:t xml:space="preserve">arptautinis kamerinės muzikos festivalis „Kuršių nerija“, su </w:t>
      </w:r>
      <w:r w:rsidR="005B5561">
        <w:rPr>
          <w:rFonts w:ascii="Times New Roman" w:hAnsi="Times New Roman" w:cs="Times New Roman"/>
          <w:sz w:val="24"/>
          <w:szCs w:val="24"/>
        </w:rPr>
        <w:t>A</w:t>
      </w:r>
      <w:r w:rsidR="00DE206F" w:rsidRPr="00DE206F">
        <w:rPr>
          <w:rFonts w:ascii="Times New Roman" w:hAnsi="Times New Roman" w:cs="Times New Roman"/>
          <w:sz w:val="24"/>
          <w:szCs w:val="24"/>
        </w:rPr>
        <w:t>sociacija Audiovizualinių menų industrijos inkubatoriumi</w:t>
      </w:r>
      <w:r w:rsidR="00DE206F">
        <w:rPr>
          <w:rFonts w:ascii="Times New Roman" w:hAnsi="Times New Roman" w:cs="Times New Roman"/>
          <w:sz w:val="24"/>
          <w:szCs w:val="24"/>
        </w:rPr>
        <w:t xml:space="preserve"> – 22-osios </w:t>
      </w:r>
      <w:r w:rsidR="00DE206F" w:rsidRPr="007E4746">
        <w:rPr>
          <w:rFonts w:ascii="Times New Roman" w:hAnsi="Times New Roman" w:cs="Times New Roman"/>
          <w:sz w:val="24"/>
          <w:szCs w:val="24"/>
        </w:rPr>
        <w:t xml:space="preserve">tarptautinės kūrybinės dirbtuvės </w:t>
      </w:r>
      <w:r w:rsidR="007E4746">
        <w:rPr>
          <w:rFonts w:ascii="Times New Roman" w:hAnsi="Times New Roman" w:cs="Times New Roman"/>
          <w:sz w:val="24"/>
          <w:szCs w:val="24"/>
        </w:rPr>
        <w:t>„</w:t>
      </w:r>
      <w:r w:rsidR="007E4746" w:rsidRPr="007E4746">
        <w:rPr>
          <w:rFonts w:ascii="Times New Roman" w:hAnsi="Times New Roman" w:cs="Times New Roman"/>
          <w:sz w:val="24"/>
          <w:szCs w:val="24"/>
        </w:rPr>
        <w:t>Vasaros Media Studija</w:t>
      </w:r>
      <w:r w:rsidR="007E4746">
        <w:rPr>
          <w:rFonts w:ascii="Times New Roman" w:hAnsi="Times New Roman" w:cs="Times New Roman"/>
          <w:sz w:val="24"/>
          <w:szCs w:val="24"/>
        </w:rPr>
        <w:t>“, bendr</w:t>
      </w:r>
      <w:r w:rsidR="005B5561">
        <w:rPr>
          <w:rFonts w:ascii="Times New Roman" w:hAnsi="Times New Roman" w:cs="Times New Roman"/>
          <w:sz w:val="24"/>
          <w:szCs w:val="24"/>
        </w:rPr>
        <w:t>a</w:t>
      </w:r>
      <w:r w:rsidR="007E4746">
        <w:rPr>
          <w:rFonts w:ascii="Times New Roman" w:hAnsi="Times New Roman" w:cs="Times New Roman"/>
          <w:sz w:val="24"/>
          <w:szCs w:val="24"/>
        </w:rPr>
        <w:t xml:space="preserve">darbiaujant su </w:t>
      </w:r>
      <w:r w:rsidR="007E4746" w:rsidRPr="007E4746">
        <w:rPr>
          <w:rFonts w:ascii="Times New Roman" w:hAnsi="Times New Roman" w:cs="Times New Roman"/>
          <w:sz w:val="24"/>
          <w:szCs w:val="24"/>
        </w:rPr>
        <w:t>K</w:t>
      </w:r>
      <w:r w:rsidR="00175741" w:rsidRPr="007E4746">
        <w:rPr>
          <w:rFonts w:ascii="Times New Roman" w:hAnsi="Times New Roman" w:cs="Times New Roman"/>
          <w:sz w:val="24"/>
          <w:szCs w:val="24"/>
        </w:rPr>
        <w:t xml:space="preserve">intų muzikos </w:t>
      </w:r>
      <w:r w:rsidR="007E4746">
        <w:rPr>
          <w:rFonts w:ascii="Times New Roman" w:hAnsi="Times New Roman" w:cs="Times New Roman"/>
          <w:sz w:val="24"/>
          <w:szCs w:val="24"/>
        </w:rPr>
        <w:t>festivaliu surengti koncertai Juodkrantėje</w:t>
      </w:r>
      <w:r w:rsidR="001A69C4">
        <w:rPr>
          <w:rFonts w:ascii="Times New Roman" w:hAnsi="Times New Roman" w:cs="Times New Roman"/>
          <w:color w:val="4472C4" w:themeColor="accent5"/>
          <w:sz w:val="24"/>
          <w:szCs w:val="24"/>
        </w:rPr>
        <w:t>.</w:t>
      </w:r>
    </w:p>
    <w:p w14:paraId="058CD8A5" w14:textId="7921310A" w:rsidR="00F62B63" w:rsidRDefault="007E4746" w:rsidP="007E4746">
      <w:pPr>
        <w:pStyle w:val="Sraopastraipa"/>
        <w:tabs>
          <w:tab w:val="left" w:pos="34"/>
        </w:tabs>
        <w:ind w:left="34"/>
        <w:jc w:val="both"/>
      </w:pPr>
      <w:r>
        <w:rPr>
          <w:rFonts w:ascii="Times New Roman" w:hAnsi="Times New Roman" w:cs="Times New Roman"/>
          <w:color w:val="4472C4" w:themeColor="accent5"/>
          <w:sz w:val="24"/>
          <w:szCs w:val="24"/>
        </w:rPr>
        <w:tab/>
      </w:r>
      <w:r w:rsidRPr="007E4746">
        <w:rPr>
          <w:rFonts w:ascii="Times New Roman" w:hAnsi="Times New Roman" w:cs="Times New Roman"/>
          <w:sz w:val="24"/>
          <w:szCs w:val="24"/>
        </w:rPr>
        <w:t xml:space="preserve">Karantino metu organizuoti nuotoliniai renginiai </w:t>
      </w:r>
      <w:r w:rsidR="005B5561">
        <w:rPr>
          <w:rFonts w:ascii="Times New Roman" w:hAnsi="Times New Roman" w:cs="Times New Roman"/>
          <w:sz w:val="24"/>
          <w:szCs w:val="24"/>
        </w:rPr>
        <w:t>„</w:t>
      </w:r>
      <w:r w:rsidRPr="007E4746">
        <w:rPr>
          <w:rFonts w:ascii="Times New Roman" w:hAnsi="Times New Roman" w:cs="Times New Roman"/>
          <w:sz w:val="24"/>
          <w:szCs w:val="24"/>
        </w:rPr>
        <w:t>Facebook</w:t>
      </w:r>
      <w:r w:rsidR="005B5561">
        <w:rPr>
          <w:rFonts w:ascii="Times New Roman" w:hAnsi="Times New Roman" w:cs="Times New Roman"/>
          <w:sz w:val="24"/>
          <w:szCs w:val="24"/>
        </w:rPr>
        <w:t>“</w:t>
      </w:r>
      <w:r w:rsidRPr="007E4746">
        <w:rPr>
          <w:rFonts w:ascii="Times New Roman" w:hAnsi="Times New Roman" w:cs="Times New Roman"/>
          <w:sz w:val="24"/>
          <w:szCs w:val="24"/>
        </w:rPr>
        <w:t xml:space="preserve"> platformoje, </w:t>
      </w:r>
      <w:r w:rsidR="005B5561">
        <w:rPr>
          <w:rFonts w:ascii="Times New Roman" w:hAnsi="Times New Roman" w:cs="Times New Roman"/>
          <w:sz w:val="24"/>
          <w:szCs w:val="24"/>
        </w:rPr>
        <w:t>„</w:t>
      </w:r>
      <w:r w:rsidRPr="007E4746">
        <w:rPr>
          <w:rFonts w:ascii="Times New Roman" w:hAnsi="Times New Roman" w:cs="Times New Roman"/>
          <w:sz w:val="24"/>
          <w:szCs w:val="24"/>
        </w:rPr>
        <w:t>Youtube</w:t>
      </w:r>
      <w:r w:rsidR="005B5561">
        <w:rPr>
          <w:rFonts w:ascii="Times New Roman" w:hAnsi="Times New Roman" w:cs="Times New Roman"/>
          <w:sz w:val="24"/>
          <w:szCs w:val="24"/>
        </w:rPr>
        <w:t>“</w:t>
      </w:r>
      <w:r w:rsidRPr="007E4746">
        <w:rPr>
          <w:rFonts w:ascii="Times New Roman" w:hAnsi="Times New Roman" w:cs="Times New Roman"/>
          <w:sz w:val="24"/>
          <w:szCs w:val="24"/>
        </w:rPr>
        <w:t xml:space="preserve"> </w:t>
      </w:r>
      <w:r w:rsidR="0084772E">
        <w:rPr>
          <w:rFonts w:ascii="Times New Roman" w:hAnsi="Times New Roman" w:cs="Times New Roman"/>
          <w:sz w:val="24"/>
          <w:szCs w:val="24"/>
        </w:rPr>
        <w:t>kanale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B749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Zoom</w:t>
      </w:r>
      <w:r w:rsidR="008B749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programoje</w:t>
      </w:r>
      <w:r w:rsidRPr="007E4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7E4746">
        <w:rPr>
          <w:rFonts w:ascii="Times New Roman" w:hAnsi="Times New Roman" w:cs="Times New Roman"/>
          <w:sz w:val="24"/>
          <w:szCs w:val="24"/>
        </w:rPr>
        <w:t>laukė daug peržiūrų ir susidomėjimo: konkursas „Atrask Juodkrantę senose fotografijose“, vėtrungių spalvinimo konkursas</w:t>
      </w:r>
      <w:r w:rsidR="0084772E">
        <w:rPr>
          <w:rFonts w:ascii="Times New Roman" w:hAnsi="Times New Roman" w:cs="Times New Roman"/>
          <w:sz w:val="24"/>
          <w:szCs w:val="24"/>
        </w:rPr>
        <w:t>,</w:t>
      </w:r>
      <w:r w:rsidRPr="007E4746">
        <w:rPr>
          <w:rFonts w:ascii="Times New Roman" w:hAnsi="Times New Roman" w:cs="Times New Roman"/>
          <w:sz w:val="24"/>
          <w:szCs w:val="24"/>
        </w:rPr>
        <w:t xml:space="preserve"> </w:t>
      </w:r>
      <w:r w:rsidR="00B33B8A" w:rsidRPr="007E4746">
        <w:rPr>
          <w:rFonts w:ascii="Times New Roman" w:hAnsi="Times New Roman" w:cs="Times New Roman"/>
          <w:sz w:val="24"/>
          <w:szCs w:val="24"/>
        </w:rPr>
        <w:t>kuršininkų kalbos ir pasaulėžiūros kursai,</w:t>
      </w:r>
      <w:r w:rsidRPr="007E4746">
        <w:rPr>
          <w:rFonts w:ascii="Times New Roman" w:hAnsi="Times New Roman" w:cs="Times New Roman"/>
          <w:sz w:val="24"/>
          <w:szCs w:val="24"/>
        </w:rPr>
        <w:t xml:space="preserve"> delmonų siuvimo mokymai, paskaitos.</w:t>
      </w:r>
    </w:p>
    <w:p w14:paraId="075FE0A1" w14:textId="77777777" w:rsidR="00E713AD" w:rsidRDefault="00AE2B73" w:rsidP="008007E4">
      <w:pPr>
        <w:pStyle w:val="Style10"/>
        <w:widowControl/>
        <w:tabs>
          <w:tab w:val="left" w:pos="0"/>
        </w:tabs>
        <w:spacing w:line="240" w:lineRule="auto"/>
        <w:jc w:val="both"/>
        <w:rPr>
          <w:color w:val="FF0000"/>
        </w:rPr>
      </w:pPr>
      <w:r>
        <w:tab/>
      </w:r>
      <w:r w:rsidR="00AA6A33">
        <w:t>2.2.</w:t>
      </w:r>
      <w:r w:rsidR="00D0714E">
        <w:t>2</w:t>
      </w:r>
      <w:r w:rsidR="00AA6A33">
        <w:t xml:space="preserve">. </w:t>
      </w:r>
      <w:r w:rsidR="00AA6A33" w:rsidRPr="007E4746">
        <w:t xml:space="preserve">Mėgėjų meno kolektyvų svarbiausios išvykos ir pasiekimai: </w:t>
      </w:r>
    </w:p>
    <w:p w14:paraId="04392AD1" w14:textId="77777777" w:rsidR="007D2781" w:rsidRPr="007D2781" w:rsidRDefault="0084772E" w:rsidP="007D2781">
      <w:pPr>
        <w:pStyle w:val="Style10"/>
        <w:widowControl/>
        <w:tabs>
          <w:tab w:val="left" w:pos="0"/>
        </w:tabs>
        <w:spacing w:line="240" w:lineRule="auto"/>
        <w:jc w:val="both"/>
      </w:pPr>
      <w:r>
        <w:tab/>
      </w:r>
      <w:r w:rsidR="00553556">
        <w:t>Folkloro ansamblis</w:t>
      </w:r>
      <w:r w:rsidR="00553556" w:rsidRPr="002B2722">
        <w:t xml:space="preserve"> „Aušrinė“ </w:t>
      </w:r>
      <w:r w:rsidR="00553556">
        <w:t>išleido kompaktinę</w:t>
      </w:r>
      <w:r w:rsidR="00553556" w:rsidRPr="002B2722">
        <w:t xml:space="preserve"> plo</w:t>
      </w:r>
      <w:r w:rsidR="00553556">
        <w:t>kštelę</w:t>
      </w:r>
      <w:r w:rsidR="00553556" w:rsidRPr="002B2722">
        <w:t xml:space="preserve"> „Lėkė volungė“</w:t>
      </w:r>
      <w:r w:rsidR="00553556">
        <w:t>. Folkloro ansamblis</w:t>
      </w:r>
      <w:r w:rsidR="00553556" w:rsidRPr="002B2722">
        <w:t xml:space="preserve"> „Aušrinė“ </w:t>
      </w:r>
      <w:r w:rsidR="00553556">
        <w:t xml:space="preserve">dalyvavo </w:t>
      </w:r>
      <w:r w:rsidR="008B22FA" w:rsidRPr="00553556">
        <w:rPr>
          <w:rFonts w:eastAsiaTheme="minorHAnsi"/>
          <w:lang w:eastAsia="en-US"/>
        </w:rPr>
        <w:t>XXII</w:t>
      </w:r>
      <w:r w:rsidR="00553556" w:rsidRPr="00553556">
        <w:rPr>
          <w:rFonts w:eastAsiaTheme="minorHAnsi"/>
          <w:lang w:eastAsia="en-US"/>
        </w:rPr>
        <w:t>-</w:t>
      </w:r>
      <w:r w:rsidR="00553556">
        <w:rPr>
          <w:rFonts w:eastAsiaTheme="minorHAnsi"/>
          <w:lang w:eastAsia="en-US"/>
        </w:rPr>
        <w:t>ajame tarptautiniame folkloro festivalyje</w:t>
      </w:r>
      <w:r w:rsidR="008B22FA" w:rsidRPr="00553556">
        <w:rPr>
          <w:rFonts w:eastAsiaTheme="minorHAnsi"/>
          <w:lang w:eastAsia="en-US"/>
        </w:rPr>
        <w:t xml:space="preserve"> „</w:t>
      </w:r>
      <w:r w:rsidR="00553556" w:rsidRPr="00553556">
        <w:rPr>
          <w:rFonts w:eastAsiaTheme="minorHAnsi"/>
          <w:lang w:eastAsia="en-US"/>
        </w:rPr>
        <w:t>Tek saulužė ant maračių“ Nidoje; š</w:t>
      </w:r>
      <w:r w:rsidR="00553556">
        <w:rPr>
          <w:rFonts w:eastAsiaTheme="minorHAnsi"/>
          <w:lang w:eastAsia="en-US"/>
        </w:rPr>
        <w:t>iaudinių skulptūrų plenere</w:t>
      </w:r>
      <w:r w:rsidR="008B22FA" w:rsidRPr="00553556">
        <w:rPr>
          <w:rFonts w:eastAsiaTheme="minorHAnsi"/>
          <w:lang w:eastAsia="en-US"/>
        </w:rPr>
        <w:t xml:space="preserve"> </w:t>
      </w:r>
      <w:r w:rsidR="00553556" w:rsidRPr="00553556">
        <w:rPr>
          <w:rFonts w:eastAsiaTheme="minorHAnsi"/>
          <w:lang w:eastAsia="en-US"/>
        </w:rPr>
        <w:t>Vilkyčiuose, Saugų seniūnijoje; f</w:t>
      </w:r>
      <w:r w:rsidR="008B22FA" w:rsidRPr="00553556">
        <w:rPr>
          <w:rFonts w:eastAsiaTheme="minorHAnsi"/>
          <w:lang w:eastAsia="en-US"/>
        </w:rPr>
        <w:t>olkloro ansamblių šventė</w:t>
      </w:r>
      <w:r w:rsidR="00553556">
        <w:rPr>
          <w:rFonts w:eastAsiaTheme="minorHAnsi"/>
          <w:lang w:eastAsia="en-US"/>
        </w:rPr>
        <w:t>je</w:t>
      </w:r>
      <w:r w:rsidR="008B22FA" w:rsidRPr="00553556">
        <w:rPr>
          <w:rFonts w:eastAsiaTheme="minorHAnsi"/>
          <w:lang w:eastAsia="en-US"/>
        </w:rPr>
        <w:t xml:space="preserve"> „Žolinės Paberžėje“ (Paberžė, Gudžiūnų sen., Kėdainių r.)</w:t>
      </w:r>
      <w:r w:rsidR="00553556" w:rsidRPr="00553556">
        <w:rPr>
          <w:rFonts w:eastAsiaTheme="minorHAnsi"/>
          <w:lang w:eastAsia="en-US"/>
        </w:rPr>
        <w:t>.</w:t>
      </w:r>
      <w:r w:rsidR="00553556">
        <w:rPr>
          <w:rFonts w:eastAsiaTheme="minorHAnsi"/>
          <w:lang w:eastAsia="en-US"/>
        </w:rPr>
        <w:t xml:space="preserve"> </w:t>
      </w:r>
      <w:r w:rsidR="00BB56CA" w:rsidRPr="007D2781">
        <w:rPr>
          <w:rFonts w:eastAsiaTheme="minorHAnsi"/>
          <w:lang w:eastAsia="en-US"/>
        </w:rPr>
        <w:t xml:space="preserve">Moterų vokalinis ansamblis „Neringa“ </w:t>
      </w:r>
      <w:r w:rsidR="007D2781" w:rsidRPr="007D2781">
        <w:rPr>
          <w:rFonts w:eastAsiaTheme="minorHAnsi"/>
          <w:lang w:eastAsia="en-US"/>
        </w:rPr>
        <w:t xml:space="preserve">buvo </w:t>
      </w:r>
      <w:r w:rsidR="00BB56CA" w:rsidRPr="007D2781">
        <w:rPr>
          <w:rFonts w:eastAsiaTheme="minorHAnsi"/>
          <w:lang w:eastAsia="en-US"/>
        </w:rPr>
        <w:t>pa</w:t>
      </w:r>
      <w:r w:rsidR="007D2781" w:rsidRPr="007D2781">
        <w:rPr>
          <w:rFonts w:eastAsiaTheme="minorHAnsi"/>
          <w:lang w:eastAsia="en-US"/>
        </w:rPr>
        <w:t>siruošęs dalyvauti respublikiniuose</w:t>
      </w:r>
      <w:r w:rsidR="00BB56CA" w:rsidRPr="007D2781">
        <w:rPr>
          <w:rFonts w:eastAsiaTheme="minorHAnsi"/>
          <w:lang w:eastAsia="en-US"/>
        </w:rPr>
        <w:t xml:space="preserve"> konkurs</w:t>
      </w:r>
      <w:r w:rsidR="007D2781" w:rsidRPr="007D2781">
        <w:rPr>
          <w:rFonts w:eastAsiaTheme="minorHAnsi"/>
          <w:lang w:eastAsia="en-US"/>
        </w:rPr>
        <w:t>uose</w:t>
      </w:r>
      <w:r w:rsidR="00BB56CA" w:rsidRPr="007D2781">
        <w:rPr>
          <w:rFonts w:eastAsiaTheme="minorHAnsi"/>
          <w:lang w:eastAsia="en-US"/>
        </w:rPr>
        <w:t xml:space="preserve"> „Sidabriniai balsai“ ir „Šilų aidai“</w:t>
      </w:r>
      <w:r w:rsidR="007D2781" w:rsidRPr="007D2781">
        <w:rPr>
          <w:rFonts w:eastAsiaTheme="minorHAnsi"/>
          <w:lang w:eastAsia="en-US"/>
        </w:rPr>
        <w:t>,</w:t>
      </w:r>
      <w:r w:rsidR="00BB56CA" w:rsidRPr="007D2781">
        <w:rPr>
          <w:rFonts w:eastAsiaTheme="minorHAnsi"/>
          <w:lang w:eastAsia="en-US"/>
        </w:rPr>
        <w:t xml:space="preserve"> tačiau dėl karantino apribojimų suplanuoti konkursai neįvyko.</w:t>
      </w:r>
      <w:r w:rsidR="007D2781">
        <w:rPr>
          <w:rFonts w:eastAsiaTheme="minorHAnsi"/>
          <w:lang w:eastAsia="en-US"/>
        </w:rPr>
        <w:t xml:space="preserve"> </w:t>
      </w:r>
      <w:r w:rsidR="007D2781" w:rsidRPr="007D2781">
        <w:t xml:space="preserve">Mėgėjų meno kolektyvai sukūrė </w:t>
      </w:r>
      <w:r w:rsidR="007D2781">
        <w:t>5</w:t>
      </w:r>
      <w:r w:rsidR="007D2781" w:rsidRPr="007D2781">
        <w:t xml:space="preserve"> naujas koncertines programas. </w:t>
      </w:r>
    </w:p>
    <w:p w14:paraId="202C5033" w14:textId="77777777" w:rsidR="008B22FA" w:rsidRPr="00553556" w:rsidRDefault="008B22FA" w:rsidP="00553556">
      <w:pPr>
        <w:ind w:firstLine="1296"/>
        <w:jc w:val="both"/>
        <w:rPr>
          <w:rFonts w:eastAsiaTheme="minorHAnsi"/>
          <w:lang w:eastAsia="en-US"/>
        </w:rPr>
      </w:pPr>
    </w:p>
    <w:p w14:paraId="5F0D70E9" w14:textId="77777777" w:rsidR="006E41E9" w:rsidRDefault="00514820" w:rsidP="005509CF">
      <w:pPr>
        <w:pStyle w:val="Betarp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594">
        <w:rPr>
          <w:rFonts w:ascii="Times New Roman" w:eastAsia="Times New Roman" w:hAnsi="Times New Roman" w:cs="Times New Roman"/>
          <w:sz w:val="24"/>
          <w:szCs w:val="24"/>
          <w:lang w:eastAsia="lt-LT"/>
        </w:rPr>
        <w:t>2.2.</w:t>
      </w:r>
      <w:r w:rsidR="001911E3" w:rsidRPr="00960594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9605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D77681" w:rsidRPr="009605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Pastatų, patalpų ir aplinkos </w:t>
      </w:r>
      <w:r w:rsidR="00D90A34" w:rsidRPr="00960594">
        <w:rPr>
          <w:rFonts w:ascii="Times New Roman" w:eastAsia="Times New Roman" w:hAnsi="Times New Roman" w:cs="Times New Roman"/>
          <w:sz w:val="24"/>
          <w:szCs w:val="24"/>
          <w:lang w:eastAsia="lt-LT"/>
        </w:rPr>
        <w:t>gerinimas bei m</w:t>
      </w:r>
      <w:r w:rsidR="00960594">
        <w:rPr>
          <w:rFonts w:ascii="Times New Roman" w:eastAsia="Times New Roman" w:hAnsi="Times New Roman" w:cs="Times New Roman"/>
          <w:sz w:val="24"/>
          <w:szCs w:val="24"/>
          <w:lang w:eastAsia="lt-LT"/>
        </w:rPr>
        <w:t>aterialiojo turto įsigijimas.</w:t>
      </w:r>
      <w:r w:rsidR="00D77681" w:rsidRPr="009605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60594" w:rsidRPr="00960594"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 w:rsidR="00AA4E00" w:rsidRPr="00960594">
        <w:rPr>
          <w:rFonts w:ascii="Times New Roman" w:eastAsia="Times New Roman" w:hAnsi="Times New Roman" w:cs="Times New Roman"/>
          <w:sz w:val="24"/>
          <w:szCs w:val="24"/>
          <w:lang w:eastAsia="lt-LT"/>
        </w:rPr>
        <w:t>uvo įsigyta</w:t>
      </w:r>
      <w:r w:rsidR="00CB47D1" w:rsidRPr="00960594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AA4E00" w:rsidRPr="009605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60594" w:rsidRPr="009605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kompiuteriai, planšetės, ekranas filmų demonstravimui, </w:t>
      </w:r>
      <w:r w:rsidR="00960594" w:rsidRPr="0056141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Microsoft Office Home</w:t>
      </w:r>
      <w:r w:rsidR="009605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programos, baldai.</w:t>
      </w:r>
    </w:p>
    <w:p w14:paraId="21B174AC" w14:textId="77777777" w:rsidR="00914C82" w:rsidRPr="00960594" w:rsidRDefault="00914C82" w:rsidP="005509CF">
      <w:pPr>
        <w:pStyle w:val="Betarp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D5BA5C" w14:textId="77777777" w:rsidR="00D90A34" w:rsidRDefault="00D90A34" w:rsidP="006B5703">
      <w:pPr>
        <w:tabs>
          <w:tab w:val="left" w:pos="851"/>
        </w:tabs>
        <w:ind w:left="360"/>
        <w:rPr>
          <w:u w:val="single"/>
        </w:rPr>
      </w:pPr>
    </w:p>
    <w:p w14:paraId="355B2707" w14:textId="77777777" w:rsidR="006B5703" w:rsidRPr="006B5703" w:rsidRDefault="00C4618A" w:rsidP="008A07E8">
      <w:pPr>
        <w:tabs>
          <w:tab w:val="left" w:pos="851"/>
        </w:tabs>
        <w:ind w:left="709" w:hanging="349"/>
        <w:rPr>
          <w:u w:val="single"/>
        </w:rPr>
      </w:pPr>
      <w:r w:rsidRPr="00C4618A">
        <w:tab/>
      </w:r>
      <w:r w:rsidRPr="00C4618A">
        <w:tab/>
      </w:r>
      <w:r w:rsidRPr="00C4618A">
        <w:tab/>
      </w:r>
      <w:r w:rsidR="006B5703" w:rsidRPr="00F93ED4">
        <w:rPr>
          <w:u w:val="single"/>
        </w:rPr>
        <w:t>2.3. Pagrindinių</w:t>
      </w:r>
      <w:r w:rsidR="006B5703" w:rsidRPr="006B5703">
        <w:rPr>
          <w:u w:val="single"/>
        </w:rPr>
        <w:t xml:space="preserve"> veiklos rodiklių pokytis lyginant su praėjusiais metais</w:t>
      </w:r>
      <w:r w:rsidR="00F93ED4">
        <w:rPr>
          <w:u w:val="single"/>
        </w:rPr>
        <w:t>.</w:t>
      </w:r>
    </w:p>
    <w:p w14:paraId="04F4F596" w14:textId="77777777" w:rsidR="00D90A34" w:rsidRDefault="00D90A34" w:rsidP="00817D98">
      <w:pPr>
        <w:pStyle w:val="Betarp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47E3E41" w14:textId="1277C068" w:rsidR="00107327" w:rsidRPr="00F76258" w:rsidRDefault="00615592" w:rsidP="00817D98">
      <w:pPr>
        <w:pStyle w:val="Betarp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l</w:t>
      </w:r>
      <w:r w:rsidR="00817D98" w:rsidRPr="00F93ED4">
        <w:rPr>
          <w:rFonts w:ascii="Times New Roman" w:hAnsi="Times New Roman" w:cs="Times New Roman"/>
          <w:sz w:val="24"/>
          <w:szCs w:val="24"/>
        </w:rPr>
        <w:t xml:space="preserve">ankytojų </w:t>
      </w:r>
      <w:r w:rsidR="0024766E" w:rsidRPr="00F93ED4">
        <w:rPr>
          <w:rFonts w:ascii="Times New Roman" w:hAnsi="Times New Roman" w:cs="Times New Roman"/>
          <w:sz w:val="24"/>
          <w:szCs w:val="24"/>
        </w:rPr>
        <w:t xml:space="preserve">ir dalyvių </w:t>
      </w:r>
      <w:r w:rsidR="00817D98" w:rsidRPr="00F93ED4">
        <w:rPr>
          <w:rFonts w:ascii="Times New Roman" w:hAnsi="Times New Roman" w:cs="Times New Roman"/>
          <w:sz w:val="24"/>
          <w:szCs w:val="24"/>
        </w:rPr>
        <w:t>skaičius</w:t>
      </w:r>
      <w:r w:rsidR="00817D98" w:rsidRPr="00F76258">
        <w:rPr>
          <w:rFonts w:ascii="Times New Roman" w:hAnsi="Times New Roman" w:cs="Times New Roman"/>
          <w:sz w:val="24"/>
          <w:szCs w:val="24"/>
        </w:rPr>
        <w:t xml:space="preserve">: 2016 m. </w:t>
      </w:r>
      <w:r w:rsidR="0024766E">
        <w:rPr>
          <w:rFonts w:ascii="Times New Roman" w:hAnsi="Times New Roman" w:cs="Times New Roman"/>
          <w:sz w:val="24"/>
          <w:szCs w:val="24"/>
        </w:rPr>
        <w:t xml:space="preserve">– </w:t>
      </w:r>
      <w:r w:rsidR="00817D98" w:rsidRPr="00F76258">
        <w:rPr>
          <w:rFonts w:ascii="Times New Roman" w:hAnsi="Times New Roman" w:cs="Times New Roman"/>
          <w:sz w:val="24"/>
          <w:szCs w:val="24"/>
        </w:rPr>
        <w:t>17852</w:t>
      </w:r>
      <w:r w:rsidR="0024766E">
        <w:rPr>
          <w:rFonts w:ascii="Times New Roman" w:hAnsi="Times New Roman" w:cs="Times New Roman"/>
          <w:sz w:val="24"/>
          <w:szCs w:val="24"/>
        </w:rPr>
        <w:t xml:space="preserve">, </w:t>
      </w:r>
      <w:r w:rsidR="0024766E" w:rsidRPr="00F76258">
        <w:rPr>
          <w:rFonts w:ascii="Times New Roman" w:hAnsi="Times New Roman" w:cs="Times New Roman"/>
          <w:sz w:val="24"/>
          <w:szCs w:val="24"/>
        </w:rPr>
        <w:t>201</w:t>
      </w:r>
      <w:r w:rsidR="0024766E">
        <w:rPr>
          <w:rFonts w:ascii="Times New Roman" w:hAnsi="Times New Roman" w:cs="Times New Roman"/>
          <w:sz w:val="24"/>
          <w:szCs w:val="24"/>
        </w:rPr>
        <w:t>7</w:t>
      </w:r>
      <w:r w:rsidR="0024766E" w:rsidRPr="00F76258">
        <w:rPr>
          <w:rFonts w:ascii="Times New Roman" w:hAnsi="Times New Roman" w:cs="Times New Roman"/>
          <w:sz w:val="24"/>
          <w:szCs w:val="24"/>
        </w:rPr>
        <w:t xml:space="preserve"> m. </w:t>
      </w:r>
      <w:r w:rsidR="0024766E">
        <w:rPr>
          <w:rFonts w:ascii="Times New Roman" w:hAnsi="Times New Roman" w:cs="Times New Roman"/>
          <w:sz w:val="24"/>
          <w:szCs w:val="24"/>
        </w:rPr>
        <w:t>– 17474</w:t>
      </w:r>
      <w:r w:rsidR="005F0D90">
        <w:rPr>
          <w:rFonts w:ascii="Times New Roman" w:hAnsi="Times New Roman" w:cs="Times New Roman"/>
          <w:sz w:val="24"/>
          <w:szCs w:val="24"/>
        </w:rPr>
        <w:t xml:space="preserve">, 2018 m. – </w:t>
      </w:r>
      <w:r w:rsidR="001E006C">
        <w:rPr>
          <w:rFonts w:ascii="Times New Roman" w:hAnsi="Times New Roman" w:cs="Times New Roman"/>
          <w:sz w:val="24"/>
          <w:szCs w:val="24"/>
        </w:rPr>
        <w:t>17645</w:t>
      </w:r>
      <w:r w:rsidR="00293E17">
        <w:rPr>
          <w:rFonts w:ascii="Times New Roman" w:hAnsi="Times New Roman" w:cs="Times New Roman"/>
          <w:sz w:val="24"/>
          <w:szCs w:val="24"/>
        </w:rPr>
        <w:t>, 2019</w:t>
      </w:r>
      <w:r w:rsidR="008B7499">
        <w:rPr>
          <w:rFonts w:ascii="Times New Roman" w:hAnsi="Times New Roman" w:cs="Times New Roman"/>
          <w:sz w:val="24"/>
          <w:szCs w:val="24"/>
        </w:rPr>
        <w:t> </w:t>
      </w:r>
      <w:r w:rsidR="00107327">
        <w:rPr>
          <w:rFonts w:ascii="Times New Roman" w:hAnsi="Times New Roman" w:cs="Times New Roman"/>
          <w:sz w:val="24"/>
          <w:szCs w:val="24"/>
        </w:rPr>
        <w:t>m.</w:t>
      </w:r>
      <w:r w:rsidR="00293E17">
        <w:rPr>
          <w:rFonts w:ascii="Times New Roman" w:hAnsi="Times New Roman" w:cs="Times New Roman"/>
          <w:sz w:val="24"/>
          <w:szCs w:val="24"/>
        </w:rPr>
        <w:t xml:space="preserve"> </w:t>
      </w:r>
      <w:r w:rsidR="0070201B">
        <w:rPr>
          <w:rFonts w:ascii="Times New Roman" w:hAnsi="Times New Roman" w:cs="Times New Roman"/>
          <w:sz w:val="24"/>
          <w:szCs w:val="24"/>
        </w:rPr>
        <w:t>–</w:t>
      </w:r>
      <w:r w:rsidR="00293E17">
        <w:rPr>
          <w:rFonts w:ascii="Times New Roman" w:hAnsi="Times New Roman" w:cs="Times New Roman"/>
          <w:sz w:val="24"/>
          <w:szCs w:val="24"/>
        </w:rPr>
        <w:t xml:space="preserve"> </w:t>
      </w:r>
      <w:r w:rsidR="0070201B">
        <w:rPr>
          <w:rFonts w:ascii="Times New Roman" w:hAnsi="Times New Roman" w:cs="Times New Roman"/>
          <w:sz w:val="24"/>
          <w:szCs w:val="24"/>
        </w:rPr>
        <w:t>1</w:t>
      </w:r>
      <w:r w:rsidR="0091054E">
        <w:rPr>
          <w:rFonts w:ascii="Times New Roman" w:hAnsi="Times New Roman" w:cs="Times New Roman"/>
          <w:sz w:val="24"/>
          <w:szCs w:val="24"/>
        </w:rPr>
        <w:t>4</w:t>
      </w:r>
      <w:r w:rsidR="00B01E12">
        <w:rPr>
          <w:rFonts w:ascii="Times New Roman" w:hAnsi="Times New Roman" w:cs="Times New Roman"/>
          <w:sz w:val="24"/>
          <w:szCs w:val="24"/>
        </w:rPr>
        <w:t>9</w:t>
      </w:r>
      <w:r w:rsidR="0091054E">
        <w:rPr>
          <w:rFonts w:ascii="Times New Roman" w:hAnsi="Times New Roman" w:cs="Times New Roman"/>
          <w:sz w:val="24"/>
          <w:szCs w:val="24"/>
        </w:rPr>
        <w:t>48</w:t>
      </w:r>
      <w:r w:rsidR="00107327">
        <w:rPr>
          <w:rFonts w:ascii="Times New Roman" w:hAnsi="Times New Roman" w:cs="Times New Roman"/>
          <w:sz w:val="24"/>
          <w:szCs w:val="24"/>
        </w:rPr>
        <w:t xml:space="preserve">, </w:t>
      </w:r>
      <w:r w:rsidR="00107327" w:rsidRPr="007D2781">
        <w:rPr>
          <w:rFonts w:ascii="Times New Roman" w:hAnsi="Times New Roman" w:cs="Times New Roman"/>
          <w:sz w:val="24"/>
          <w:szCs w:val="24"/>
        </w:rPr>
        <w:t xml:space="preserve">2020 m. – </w:t>
      </w:r>
      <w:r w:rsidR="007D2781" w:rsidRPr="007D2781">
        <w:rPr>
          <w:rFonts w:ascii="Times New Roman" w:hAnsi="Times New Roman" w:cs="Times New Roman"/>
          <w:sz w:val="24"/>
          <w:szCs w:val="24"/>
        </w:rPr>
        <w:t>11180.</w:t>
      </w:r>
    </w:p>
    <w:p w14:paraId="3A271762" w14:textId="77777777" w:rsidR="00B741BF" w:rsidRPr="00072D55" w:rsidRDefault="00B741BF" w:rsidP="001857DA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14" w:type="dxa"/>
        <w:tblLook w:val="04A0" w:firstRow="1" w:lastRow="0" w:firstColumn="1" w:lastColumn="0" w:noHBand="0" w:noVBand="1"/>
      </w:tblPr>
      <w:tblGrid>
        <w:gridCol w:w="4140"/>
        <w:gridCol w:w="1237"/>
        <w:gridCol w:w="1065"/>
        <w:gridCol w:w="1151"/>
        <w:gridCol w:w="1070"/>
        <w:gridCol w:w="1051"/>
      </w:tblGrid>
      <w:tr w:rsidR="00A90B26" w14:paraId="3F46AD27" w14:textId="77777777" w:rsidTr="00561412">
        <w:trPr>
          <w:trHeight w:val="541"/>
        </w:trPr>
        <w:tc>
          <w:tcPr>
            <w:tcW w:w="4140" w:type="dxa"/>
            <w:vAlign w:val="center"/>
          </w:tcPr>
          <w:p w14:paraId="08B8E74B" w14:textId="77777777" w:rsidR="00A90B26" w:rsidRPr="00DD51E7" w:rsidRDefault="00A90B26" w:rsidP="00A17BE1">
            <w:pPr>
              <w:jc w:val="center"/>
              <w:rPr>
                <w:b/>
                <w:i/>
                <w:color w:val="000000" w:themeColor="text1"/>
              </w:rPr>
            </w:pPr>
            <w:r w:rsidRPr="00DD51E7">
              <w:rPr>
                <w:b/>
                <w:i/>
                <w:color w:val="000000" w:themeColor="text1"/>
              </w:rPr>
              <w:t>Renginiai</w:t>
            </w:r>
          </w:p>
        </w:tc>
        <w:tc>
          <w:tcPr>
            <w:tcW w:w="1237" w:type="dxa"/>
            <w:vAlign w:val="center"/>
          </w:tcPr>
          <w:p w14:paraId="388DCFCF" w14:textId="77777777" w:rsidR="00A90B26" w:rsidRPr="00094EAD" w:rsidRDefault="00A90B26" w:rsidP="00094EAD">
            <w:pPr>
              <w:jc w:val="center"/>
              <w:rPr>
                <w:b/>
                <w:i/>
                <w:color w:val="000000" w:themeColor="text1"/>
              </w:rPr>
            </w:pPr>
            <w:r w:rsidRPr="00094EAD">
              <w:rPr>
                <w:b/>
                <w:i/>
                <w:color w:val="000000" w:themeColor="text1"/>
              </w:rPr>
              <w:t>2016 m.</w:t>
            </w:r>
          </w:p>
        </w:tc>
        <w:tc>
          <w:tcPr>
            <w:tcW w:w="1065" w:type="dxa"/>
            <w:vAlign w:val="center"/>
          </w:tcPr>
          <w:p w14:paraId="336A0E71" w14:textId="77777777" w:rsidR="00A90B26" w:rsidRPr="00094EAD" w:rsidRDefault="00A90B26" w:rsidP="00094EAD">
            <w:pPr>
              <w:jc w:val="center"/>
              <w:rPr>
                <w:b/>
                <w:i/>
                <w:color w:val="000000" w:themeColor="text1"/>
              </w:rPr>
            </w:pPr>
            <w:r w:rsidRPr="00094EAD">
              <w:rPr>
                <w:b/>
                <w:i/>
                <w:color w:val="000000" w:themeColor="text1"/>
              </w:rPr>
              <w:t>2017 m.</w:t>
            </w:r>
          </w:p>
        </w:tc>
        <w:tc>
          <w:tcPr>
            <w:tcW w:w="1151" w:type="dxa"/>
            <w:vAlign w:val="center"/>
          </w:tcPr>
          <w:p w14:paraId="06B8E184" w14:textId="77777777" w:rsidR="00A90B26" w:rsidRPr="00094EAD" w:rsidRDefault="00A90B26" w:rsidP="00094EAD">
            <w:pPr>
              <w:jc w:val="center"/>
              <w:rPr>
                <w:b/>
                <w:i/>
                <w:color w:val="000000" w:themeColor="text1"/>
              </w:rPr>
            </w:pPr>
            <w:r w:rsidRPr="00094EAD">
              <w:rPr>
                <w:b/>
                <w:i/>
                <w:color w:val="000000" w:themeColor="text1"/>
              </w:rPr>
              <w:t>2018 m.</w:t>
            </w:r>
          </w:p>
        </w:tc>
        <w:tc>
          <w:tcPr>
            <w:tcW w:w="1070" w:type="dxa"/>
            <w:vAlign w:val="center"/>
          </w:tcPr>
          <w:p w14:paraId="7DB03DF8" w14:textId="77777777" w:rsidR="00A90B26" w:rsidRPr="00094EAD" w:rsidRDefault="00A90B26" w:rsidP="00293E17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2019 m.</w:t>
            </w:r>
          </w:p>
        </w:tc>
        <w:tc>
          <w:tcPr>
            <w:tcW w:w="1051" w:type="dxa"/>
            <w:vAlign w:val="center"/>
          </w:tcPr>
          <w:p w14:paraId="6D465C0F" w14:textId="77777777" w:rsidR="00A90B26" w:rsidRDefault="00A90B26" w:rsidP="00A90B26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2020 m.</w:t>
            </w:r>
          </w:p>
        </w:tc>
      </w:tr>
      <w:tr w:rsidR="007D2781" w14:paraId="44830DB9" w14:textId="77777777" w:rsidTr="00561412">
        <w:tc>
          <w:tcPr>
            <w:tcW w:w="4140" w:type="dxa"/>
          </w:tcPr>
          <w:p w14:paraId="156D74D5" w14:textId="77777777" w:rsidR="007D2781" w:rsidRPr="009C1403" w:rsidRDefault="007D2781" w:rsidP="00A90B26">
            <w:pPr>
              <w:ind w:left="720" w:hanging="694"/>
            </w:pPr>
            <w:r w:rsidRPr="009C1403">
              <w:t xml:space="preserve">Profesionalių menininkų parodos  </w:t>
            </w:r>
          </w:p>
        </w:tc>
        <w:tc>
          <w:tcPr>
            <w:tcW w:w="1237" w:type="dxa"/>
          </w:tcPr>
          <w:p w14:paraId="2327C3AE" w14:textId="77777777" w:rsidR="007D2781" w:rsidRPr="009C1403" w:rsidRDefault="007D2781" w:rsidP="00A17B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065" w:type="dxa"/>
          </w:tcPr>
          <w:p w14:paraId="478ABBCF" w14:textId="77777777" w:rsidR="007D2781" w:rsidRPr="00133C17" w:rsidRDefault="007D2781" w:rsidP="00A17B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151" w:type="dxa"/>
            <w:vAlign w:val="center"/>
          </w:tcPr>
          <w:p w14:paraId="3053C69F" w14:textId="77777777" w:rsidR="007D2781" w:rsidRDefault="007D2781" w:rsidP="005F0D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070" w:type="dxa"/>
          </w:tcPr>
          <w:p w14:paraId="18F7941C" w14:textId="77777777" w:rsidR="007D2781" w:rsidRDefault="007D2781" w:rsidP="005F0D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051" w:type="dxa"/>
          </w:tcPr>
          <w:p w14:paraId="6CF9C18C" w14:textId="77777777" w:rsidR="007D2781" w:rsidRDefault="007D2781" w:rsidP="007D2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</w:tr>
      <w:tr w:rsidR="007D2781" w14:paraId="09BF9F7D" w14:textId="77777777" w:rsidTr="00561412">
        <w:tc>
          <w:tcPr>
            <w:tcW w:w="4140" w:type="dxa"/>
          </w:tcPr>
          <w:p w14:paraId="72B24167" w14:textId="77777777" w:rsidR="007D2781" w:rsidRPr="009C1403" w:rsidRDefault="007D2781" w:rsidP="00A90B26">
            <w:pPr>
              <w:ind w:left="27" w:hanging="1"/>
            </w:pPr>
            <w:r w:rsidRPr="009C1403">
              <w:t xml:space="preserve">Profesionalių menininkų koncertai (klasikinės, džiazo muzikos) </w:t>
            </w:r>
          </w:p>
        </w:tc>
        <w:tc>
          <w:tcPr>
            <w:tcW w:w="1237" w:type="dxa"/>
            <w:vAlign w:val="center"/>
          </w:tcPr>
          <w:p w14:paraId="3B840C65" w14:textId="77777777" w:rsidR="007D2781" w:rsidRPr="009C1403" w:rsidRDefault="007D2781" w:rsidP="001E00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065" w:type="dxa"/>
            <w:vAlign w:val="center"/>
          </w:tcPr>
          <w:p w14:paraId="53DC61D2" w14:textId="77777777" w:rsidR="007D2781" w:rsidRPr="006B5703" w:rsidRDefault="007D2781" w:rsidP="001E006C">
            <w:pPr>
              <w:jc w:val="center"/>
              <w:rPr>
                <w:color w:val="000000" w:themeColor="text1"/>
              </w:rPr>
            </w:pPr>
            <w:r w:rsidRPr="006B5703">
              <w:rPr>
                <w:color w:val="000000" w:themeColor="text1"/>
              </w:rPr>
              <w:t>25</w:t>
            </w:r>
          </w:p>
        </w:tc>
        <w:tc>
          <w:tcPr>
            <w:tcW w:w="1151" w:type="dxa"/>
            <w:vAlign w:val="center"/>
          </w:tcPr>
          <w:p w14:paraId="48A19B0B" w14:textId="77777777" w:rsidR="007D2781" w:rsidRPr="006B5703" w:rsidRDefault="007D2781" w:rsidP="005F0D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070" w:type="dxa"/>
            <w:vAlign w:val="center"/>
          </w:tcPr>
          <w:p w14:paraId="7AC5C218" w14:textId="77777777" w:rsidR="007D2781" w:rsidRDefault="007D2781" w:rsidP="0098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051" w:type="dxa"/>
            <w:vAlign w:val="center"/>
          </w:tcPr>
          <w:p w14:paraId="0FB40F67" w14:textId="77777777" w:rsidR="007D2781" w:rsidRDefault="007D2781" w:rsidP="007D2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7D2781" w14:paraId="6D3F9A59" w14:textId="77777777" w:rsidTr="00561412">
        <w:tc>
          <w:tcPr>
            <w:tcW w:w="4140" w:type="dxa"/>
          </w:tcPr>
          <w:p w14:paraId="17563350" w14:textId="77777777" w:rsidR="007D2781" w:rsidRPr="009C1403" w:rsidRDefault="007D2781" w:rsidP="00A90B26">
            <w:pPr>
              <w:ind w:left="720" w:hanging="694"/>
            </w:pPr>
            <w:r w:rsidRPr="009C1403">
              <w:t xml:space="preserve">Profesionalių menininkų spektakliai </w:t>
            </w:r>
          </w:p>
        </w:tc>
        <w:tc>
          <w:tcPr>
            <w:tcW w:w="1237" w:type="dxa"/>
          </w:tcPr>
          <w:p w14:paraId="60FB40AE" w14:textId="77777777" w:rsidR="007D2781" w:rsidRPr="009C1403" w:rsidRDefault="007D2781" w:rsidP="00A17B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65" w:type="dxa"/>
          </w:tcPr>
          <w:p w14:paraId="21ED2B07" w14:textId="77777777" w:rsidR="007D2781" w:rsidRPr="006B5703" w:rsidRDefault="007D2781" w:rsidP="00A17BE1">
            <w:pPr>
              <w:jc w:val="center"/>
              <w:rPr>
                <w:color w:val="000000" w:themeColor="text1"/>
              </w:rPr>
            </w:pPr>
            <w:r w:rsidRPr="006B5703">
              <w:rPr>
                <w:color w:val="000000" w:themeColor="text1"/>
              </w:rPr>
              <w:t>2</w:t>
            </w:r>
          </w:p>
        </w:tc>
        <w:tc>
          <w:tcPr>
            <w:tcW w:w="1151" w:type="dxa"/>
            <w:vAlign w:val="center"/>
          </w:tcPr>
          <w:p w14:paraId="229880E3" w14:textId="77777777" w:rsidR="007D2781" w:rsidRPr="006B5703" w:rsidRDefault="007D2781" w:rsidP="005F0D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70" w:type="dxa"/>
          </w:tcPr>
          <w:p w14:paraId="4F955A08" w14:textId="77777777" w:rsidR="007D2781" w:rsidRDefault="007D2781" w:rsidP="005F0D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51" w:type="dxa"/>
          </w:tcPr>
          <w:p w14:paraId="2FABCF61" w14:textId="77777777" w:rsidR="007D2781" w:rsidRDefault="007D2781" w:rsidP="007D2781">
            <w:pPr>
              <w:jc w:val="center"/>
              <w:rPr>
                <w:color w:val="000000" w:themeColor="text1"/>
              </w:rPr>
            </w:pPr>
            <w:r w:rsidRPr="007D2781">
              <w:t>2</w:t>
            </w:r>
            <w:r>
              <w:rPr>
                <w:color w:val="FF0000"/>
              </w:rPr>
              <w:t xml:space="preserve"> </w:t>
            </w:r>
          </w:p>
        </w:tc>
      </w:tr>
      <w:tr w:rsidR="007D2781" w14:paraId="32F9CCCB" w14:textId="77777777" w:rsidTr="00561412">
        <w:tc>
          <w:tcPr>
            <w:tcW w:w="4140" w:type="dxa"/>
          </w:tcPr>
          <w:p w14:paraId="3C112791" w14:textId="77777777" w:rsidR="007D2781" w:rsidRPr="009C1403" w:rsidRDefault="007D2781" w:rsidP="00A90B26">
            <w:pPr>
              <w:ind w:firstLine="26"/>
            </w:pPr>
            <w:r w:rsidRPr="009C1403">
              <w:t xml:space="preserve">Mėgėjų meno kolektyvų koncertai, spektakliai </w:t>
            </w:r>
          </w:p>
        </w:tc>
        <w:tc>
          <w:tcPr>
            <w:tcW w:w="1237" w:type="dxa"/>
            <w:vAlign w:val="center"/>
          </w:tcPr>
          <w:p w14:paraId="7927BA6B" w14:textId="77777777" w:rsidR="007D2781" w:rsidRPr="009C1403" w:rsidRDefault="007D2781" w:rsidP="00165E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65" w:type="dxa"/>
            <w:vAlign w:val="center"/>
          </w:tcPr>
          <w:p w14:paraId="0427856C" w14:textId="77777777" w:rsidR="007D2781" w:rsidRPr="006B5703" w:rsidRDefault="007D2781" w:rsidP="00165E8D">
            <w:pPr>
              <w:jc w:val="center"/>
              <w:rPr>
                <w:color w:val="000000" w:themeColor="text1"/>
              </w:rPr>
            </w:pPr>
            <w:r w:rsidRPr="006B5703">
              <w:rPr>
                <w:color w:val="000000" w:themeColor="text1"/>
              </w:rPr>
              <w:t>17</w:t>
            </w:r>
          </w:p>
        </w:tc>
        <w:tc>
          <w:tcPr>
            <w:tcW w:w="1151" w:type="dxa"/>
            <w:vAlign w:val="center"/>
          </w:tcPr>
          <w:p w14:paraId="7B363F19" w14:textId="77777777" w:rsidR="007D2781" w:rsidRPr="006B5703" w:rsidRDefault="007D2781" w:rsidP="00165E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070" w:type="dxa"/>
            <w:vAlign w:val="center"/>
          </w:tcPr>
          <w:p w14:paraId="6B1F8B21" w14:textId="77777777" w:rsidR="007D2781" w:rsidRDefault="007D2781" w:rsidP="00165E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051" w:type="dxa"/>
            <w:vAlign w:val="center"/>
          </w:tcPr>
          <w:p w14:paraId="3429644E" w14:textId="77777777" w:rsidR="007D2781" w:rsidRDefault="007D2781" w:rsidP="00165E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7D2781" w14:paraId="694A93EF" w14:textId="77777777" w:rsidTr="00561412">
        <w:tc>
          <w:tcPr>
            <w:tcW w:w="4140" w:type="dxa"/>
          </w:tcPr>
          <w:p w14:paraId="34325406" w14:textId="77777777" w:rsidR="007D2781" w:rsidRPr="009C1403" w:rsidRDefault="007D2781" w:rsidP="00A90B26">
            <w:pPr>
              <w:ind w:left="720" w:hanging="694"/>
            </w:pPr>
            <w:r w:rsidRPr="009C1403">
              <w:t xml:space="preserve">Mėgėjų meno kolektyvų išvykos </w:t>
            </w:r>
          </w:p>
        </w:tc>
        <w:tc>
          <w:tcPr>
            <w:tcW w:w="1237" w:type="dxa"/>
          </w:tcPr>
          <w:p w14:paraId="09CE4093" w14:textId="77777777" w:rsidR="007D2781" w:rsidRPr="009C1403" w:rsidRDefault="007D2781" w:rsidP="00A17B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065" w:type="dxa"/>
          </w:tcPr>
          <w:p w14:paraId="48900B70" w14:textId="77777777" w:rsidR="007D2781" w:rsidRPr="006B5703" w:rsidRDefault="007D2781" w:rsidP="00A17BE1">
            <w:pPr>
              <w:jc w:val="center"/>
              <w:rPr>
                <w:color w:val="000000" w:themeColor="text1"/>
              </w:rPr>
            </w:pPr>
            <w:r w:rsidRPr="006B5703">
              <w:rPr>
                <w:color w:val="000000" w:themeColor="text1"/>
              </w:rPr>
              <w:t>10</w:t>
            </w:r>
          </w:p>
        </w:tc>
        <w:tc>
          <w:tcPr>
            <w:tcW w:w="1151" w:type="dxa"/>
            <w:vAlign w:val="center"/>
          </w:tcPr>
          <w:p w14:paraId="59139ED4" w14:textId="77777777" w:rsidR="007D2781" w:rsidRPr="006B5703" w:rsidRDefault="007D2781" w:rsidP="005F0D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70" w:type="dxa"/>
          </w:tcPr>
          <w:p w14:paraId="60C10E5E" w14:textId="77777777" w:rsidR="007D2781" w:rsidRDefault="007D2781" w:rsidP="005F0D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51" w:type="dxa"/>
          </w:tcPr>
          <w:p w14:paraId="695126CE" w14:textId="77777777" w:rsidR="007D2781" w:rsidRDefault="007D2781" w:rsidP="007D2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7D2781" w14:paraId="7EA6F715" w14:textId="77777777" w:rsidTr="00561412">
        <w:tc>
          <w:tcPr>
            <w:tcW w:w="4140" w:type="dxa"/>
          </w:tcPr>
          <w:p w14:paraId="6D1A35A0" w14:textId="77777777" w:rsidR="007D2781" w:rsidRPr="009C1403" w:rsidRDefault="007D2781" w:rsidP="00A90B26">
            <w:pPr>
              <w:ind w:left="720" w:hanging="694"/>
            </w:pPr>
            <w:r w:rsidRPr="009C1403">
              <w:t xml:space="preserve">Tautodailės parodos </w:t>
            </w:r>
          </w:p>
        </w:tc>
        <w:tc>
          <w:tcPr>
            <w:tcW w:w="1237" w:type="dxa"/>
          </w:tcPr>
          <w:p w14:paraId="21883A5B" w14:textId="77777777" w:rsidR="007D2781" w:rsidRPr="009C1403" w:rsidRDefault="007D2781" w:rsidP="00A17B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65" w:type="dxa"/>
          </w:tcPr>
          <w:p w14:paraId="02337906" w14:textId="77777777" w:rsidR="007D2781" w:rsidRDefault="007D2781" w:rsidP="00A17BE1">
            <w:pPr>
              <w:jc w:val="center"/>
            </w:pPr>
            <w:r>
              <w:t>5</w:t>
            </w:r>
          </w:p>
        </w:tc>
        <w:tc>
          <w:tcPr>
            <w:tcW w:w="1151" w:type="dxa"/>
            <w:vAlign w:val="center"/>
          </w:tcPr>
          <w:p w14:paraId="0BB684FE" w14:textId="77777777" w:rsidR="007D2781" w:rsidRDefault="007D2781" w:rsidP="005F0D90">
            <w:pPr>
              <w:jc w:val="center"/>
            </w:pPr>
            <w:r>
              <w:t>10</w:t>
            </w:r>
          </w:p>
        </w:tc>
        <w:tc>
          <w:tcPr>
            <w:tcW w:w="1070" w:type="dxa"/>
          </w:tcPr>
          <w:p w14:paraId="7418C563" w14:textId="77777777" w:rsidR="007D2781" w:rsidRDefault="007D2781" w:rsidP="005F0D90">
            <w:pPr>
              <w:jc w:val="center"/>
            </w:pPr>
            <w:r>
              <w:t>7</w:t>
            </w:r>
          </w:p>
        </w:tc>
        <w:tc>
          <w:tcPr>
            <w:tcW w:w="1051" w:type="dxa"/>
          </w:tcPr>
          <w:p w14:paraId="755951E0" w14:textId="77777777" w:rsidR="007D2781" w:rsidRDefault="007D2781" w:rsidP="007D2781">
            <w:pPr>
              <w:jc w:val="center"/>
            </w:pPr>
            <w:r>
              <w:t>3</w:t>
            </w:r>
          </w:p>
        </w:tc>
      </w:tr>
      <w:tr w:rsidR="007D2781" w14:paraId="358E324C" w14:textId="77777777" w:rsidTr="00561412">
        <w:tc>
          <w:tcPr>
            <w:tcW w:w="4140" w:type="dxa"/>
          </w:tcPr>
          <w:p w14:paraId="6661D271" w14:textId="77777777" w:rsidR="007D2781" w:rsidRPr="009C1403" w:rsidRDefault="007D2781" w:rsidP="00A90B26">
            <w:pPr>
              <w:ind w:left="720" w:hanging="694"/>
            </w:pPr>
            <w:r w:rsidRPr="009C1403">
              <w:t>Edukaciniai renginiai</w:t>
            </w:r>
            <w:r>
              <w:t>, paskaitos</w:t>
            </w:r>
            <w:r w:rsidRPr="009C1403">
              <w:t xml:space="preserve"> </w:t>
            </w:r>
          </w:p>
        </w:tc>
        <w:tc>
          <w:tcPr>
            <w:tcW w:w="1237" w:type="dxa"/>
          </w:tcPr>
          <w:p w14:paraId="51D335F5" w14:textId="77777777" w:rsidR="007D2781" w:rsidRPr="009C1403" w:rsidRDefault="007D2781" w:rsidP="00A17B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65" w:type="dxa"/>
          </w:tcPr>
          <w:p w14:paraId="2EC9C9FA" w14:textId="77777777" w:rsidR="007D2781" w:rsidRPr="00C9596D" w:rsidRDefault="007D2781" w:rsidP="00A17BE1">
            <w:pPr>
              <w:jc w:val="center"/>
            </w:pPr>
            <w:r>
              <w:t>29</w:t>
            </w:r>
          </w:p>
        </w:tc>
        <w:tc>
          <w:tcPr>
            <w:tcW w:w="1151" w:type="dxa"/>
            <w:vAlign w:val="center"/>
          </w:tcPr>
          <w:p w14:paraId="0E564AB9" w14:textId="77777777" w:rsidR="007D2781" w:rsidRDefault="007D2781" w:rsidP="005F0D90">
            <w:pPr>
              <w:jc w:val="center"/>
            </w:pPr>
            <w:r>
              <w:t>20</w:t>
            </w:r>
          </w:p>
        </w:tc>
        <w:tc>
          <w:tcPr>
            <w:tcW w:w="1070" w:type="dxa"/>
          </w:tcPr>
          <w:p w14:paraId="1F7D58F3" w14:textId="77777777" w:rsidR="007D2781" w:rsidRDefault="007D2781" w:rsidP="005F0D90">
            <w:pPr>
              <w:jc w:val="center"/>
            </w:pPr>
            <w:r>
              <w:t>36</w:t>
            </w:r>
          </w:p>
        </w:tc>
        <w:tc>
          <w:tcPr>
            <w:tcW w:w="1051" w:type="dxa"/>
          </w:tcPr>
          <w:p w14:paraId="26CA2F88" w14:textId="77777777" w:rsidR="007D2781" w:rsidRDefault="007D2781" w:rsidP="007D2781">
            <w:pPr>
              <w:jc w:val="center"/>
            </w:pPr>
            <w:r>
              <w:t>21</w:t>
            </w:r>
          </w:p>
        </w:tc>
      </w:tr>
      <w:tr w:rsidR="007D2781" w14:paraId="016B1543" w14:textId="77777777" w:rsidTr="00561412">
        <w:tc>
          <w:tcPr>
            <w:tcW w:w="4140" w:type="dxa"/>
          </w:tcPr>
          <w:p w14:paraId="2B2C68CC" w14:textId="77777777" w:rsidR="007D2781" w:rsidRPr="009C1403" w:rsidRDefault="007D2781" w:rsidP="00A90B26">
            <w:pPr>
              <w:ind w:left="720" w:hanging="694"/>
            </w:pPr>
            <w:r w:rsidRPr="009C1403">
              <w:t xml:space="preserve">Kino filmai </w:t>
            </w:r>
          </w:p>
        </w:tc>
        <w:tc>
          <w:tcPr>
            <w:tcW w:w="1237" w:type="dxa"/>
          </w:tcPr>
          <w:p w14:paraId="61BD361F" w14:textId="77777777" w:rsidR="007D2781" w:rsidRPr="009C1403" w:rsidRDefault="007D2781" w:rsidP="00A17B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65" w:type="dxa"/>
          </w:tcPr>
          <w:p w14:paraId="32D21F33" w14:textId="77777777" w:rsidR="007D2781" w:rsidRPr="00C9596D" w:rsidRDefault="007D2781" w:rsidP="00A17BE1">
            <w:pPr>
              <w:jc w:val="center"/>
            </w:pPr>
            <w:r>
              <w:t>12</w:t>
            </w:r>
          </w:p>
        </w:tc>
        <w:tc>
          <w:tcPr>
            <w:tcW w:w="1151" w:type="dxa"/>
            <w:vAlign w:val="center"/>
          </w:tcPr>
          <w:p w14:paraId="4203BC7F" w14:textId="77777777" w:rsidR="007D2781" w:rsidRDefault="007D2781" w:rsidP="005F0D90">
            <w:pPr>
              <w:jc w:val="center"/>
            </w:pPr>
            <w:r>
              <w:t>19</w:t>
            </w:r>
          </w:p>
        </w:tc>
        <w:tc>
          <w:tcPr>
            <w:tcW w:w="1070" w:type="dxa"/>
          </w:tcPr>
          <w:p w14:paraId="24632D3A" w14:textId="77777777" w:rsidR="007D2781" w:rsidRDefault="007D2781" w:rsidP="005F0D90">
            <w:pPr>
              <w:jc w:val="center"/>
            </w:pPr>
            <w:r>
              <w:t>32</w:t>
            </w:r>
          </w:p>
        </w:tc>
        <w:tc>
          <w:tcPr>
            <w:tcW w:w="1051" w:type="dxa"/>
          </w:tcPr>
          <w:p w14:paraId="0BCAE2CA" w14:textId="77777777" w:rsidR="007D2781" w:rsidRDefault="007D2781" w:rsidP="007D2781">
            <w:pPr>
              <w:jc w:val="center"/>
            </w:pPr>
            <w:r>
              <w:t xml:space="preserve">15 </w:t>
            </w:r>
          </w:p>
        </w:tc>
      </w:tr>
      <w:tr w:rsidR="007D2781" w14:paraId="560C3694" w14:textId="77777777" w:rsidTr="00561412">
        <w:tc>
          <w:tcPr>
            <w:tcW w:w="4140" w:type="dxa"/>
          </w:tcPr>
          <w:p w14:paraId="041B4F76" w14:textId="77777777" w:rsidR="007D2781" w:rsidRPr="009C1403" w:rsidRDefault="007D2781" w:rsidP="00A90B26">
            <w:pPr>
              <w:ind w:left="720" w:hanging="694"/>
            </w:pPr>
            <w:r w:rsidRPr="009C1403">
              <w:t xml:space="preserve">Pramoginės muzikos koncertai </w:t>
            </w:r>
          </w:p>
        </w:tc>
        <w:tc>
          <w:tcPr>
            <w:tcW w:w="1237" w:type="dxa"/>
          </w:tcPr>
          <w:p w14:paraId="26C4041D" w14:textId="77777777" w:rsidR="007D2781" w:rsidRPr="009C1403" w:rsidRDefault="007D2781" w:rsidP="00A17B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065" w:type="dxa"/>
          </w:tcPr>
          <w:p w14:paraId="48DE8BE2" w14:textId="77777777" w:rsidR="007D2781" w:rsidRPr="00C9596D" w:rsidRDefault="007D2781" w:rsidP="00A17BE1">
            <w:pPr>
              <w:jc w:val="center"/>
            </w:pPr>
            <w:r>
              <w:t>14</w:t>
            </w:r>
          </w:p>
        </w:tc>
        <w:tc>
          <w:tcPr>
            <w:tcW w:w="1151" w:type="dxa"/>
            <w:vAlign w:val="center"/>
          </w:tcPr>
          <w:p w14:paraId="1CA93243" w14:textId="77777777" w:rsidR="007D2781" w:rsidRDefault="007D2781" w:rsidP="005F0D90">
            <w:pPr>
              <w:jc w:val="center"/>
            </w:pPr>
            <w:r>
              <w:t>5</w:t>
            </w:r>
          </w:p>
        </w:tc>
        <w:tc>
          <w:tcPr>
            <w:tcW w:w="1070" w:type="dxa"/>
          </w:tcPr>
          <w:p w14:paraId="21F9E558" w14:textId="77777777" w:rsidR="007D2781" w:rsidRDefault="007D2781" w:rsidP="005F0D90">
            <w:pPr>
              <w:jc w:val="center"/>
            </w:pPr>
            <w:r>
              <w:t>4</w:t>
            </w:r>
          </w:p>
        </w:tc>
        <w:tc>
          <w:tcPr>
            <w:tcW w:w="1051" w:type="dxa"/>
          </w:tcPr>
          <w:p w14:paraId="0AE032DE" w14:textId="77777777" w:rsidR="007D2781" w:rsidRDefault="007D2781" w:rsidP="007D2781">
            <w:pPr>
              <w:jc w:val="center"/>
            </w:pPr>
            <w:r>
              <w:t>7</w:t>
            </w:r>
          </w:p>
        </w:tc>
      </w:tr>
      <w:tr w:rsidR="007D2781" w14:paraId="632E4230" w14:textId="77777777" w:rsidTr="00561412">
        <w:tc>
          <w:tcPr>
            <w:tcW w:w="4140" w:type="dxa"/>
          </w:tcPr>
          <w:p w14:paraId="2D96B3FE" w14:textId="77777777" w:rsidR="007D2781" w:rsidRPr="009C1403" w:rsidRDefault="007D2781" w:rsidP="00A90B26">
            <w:pPr>
              <w:ind w:left="720" w:hanging="694"/>
            </w:pPr>
            <w:r w:rsidRPr="009C1403">
              <w:t xml:space="preserve">Kiti renginiai </w:t>
            </w:r>
          </w:p>
        </w:tc>
        <w:tc>
          <w:tcPr>
            <w:tcW w:w="1237" w:type="dxa"/>
          </w:tcPr>
          <w:p w14:paraId="0983E427" w14:textId="77777777" w:rsidR="007D2781" w:rsidRPr="009C1403" w:rsidRDefault="007D2781" w:rsidP="00A17B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065" w:type="dxa"/>
          </w:tcPr>
          <w:p w14:paraId="23D46D95" w14:textId="77777777" w:rsidR="007D2781" w:rsidRPr="00C9596D" w:rsidRDefault="007D2781" w:rsidP="00A17BE1">
            <w:pPr>
              <w:jc w:val="center"/>
            </w:pPr>
            <w:r>
              <w:t>75</w:t>
            </w:r>
          </w:p>
        </w:tc>
        <w:tc>
          <w:tcPr>
            <w:tcW w:w="1151" w:type="dxa"/>
            <w:vAlign w:val="center"/>
          </w:tcPr>
          <w:p w14:paraId="277CB68F" w14:textId="77777777" w:rsidR="007D2781" w:rsidRDefault="007D2781" w:rsidP="005F0D90">
            <w:pPr>
              <w:jc w:val="center"/>
            </w:pPr>
            <w:r>
              <w:t>74</w:t>
            </w:r>
          </w:p>
        </w:tc>
        <w:tc>
          <w:tcPr>
            <w:tcW w:w="1070" w:type="dxa"/>
          </w:tcPr>
          <w:p w14:paraId="76746616" w14:textId="77777777" w:rsidR="007D2781" w:rsidRDefault="007D2781" w:rsidP="005F0D90">
            <w:pPr>
              <w:jc w:val="center"/>
            </w:pPr>
            <w:r>
              <w:t>68</w:t>
            </w:r>
          </w:p>
        </w:tc>
        <w:tc>
          <w:tcPr>
            <w:tcW w:w="1051" w:type="dxa"/>
          </w:tcPr>
          <w:p w14:paraId="6A7D4789" w14:textId="77777777" w:rsidR="007D2781" w:rsidRDefault="007D2781" w:rsidP="007D2781">
            <w:pPr>
              <w:jc w:val="center"/>
            </w:pPr>
            <w:r>
              <w:t>61</w:t>
            </w:r>
          </w:p>
        </w:tc>
      </w:tr>
      <w:tr w:rsidR="007D2781" w14:paraId="32629B4B" w14:textId="77777777" w:rsidTr="00561412">
        <w:tc>
          <w:tcPr>
            <w:tcW w:w="4140" w:type="dxa"/>
          </w:tcPr>
          <w:p w14:paraId="00AE091A" w14:textId="77777777" w:rsidR="007D2781" w:rsidRPr="009C1403" w:rsidRDefault="007D2781" w:rsidP="00A90B26">
            <w:pPr>
              <w:ind w:left="720" w:hanging="694"/>
            </w:pPr>
            <w:r>
              <w:t>Ekskursijos</w:t>
            </w:r>
          </w:p>
        </w:tc>
        <w:tc>
          <w:tcPr>
            <w:tcW w:w="1237" w:type="dxa"/>
          </w:tcPr>
          <w:p w14:paraId="2F9FDFDF" w14:textId="77777777" w:rsidR="007D2781" w:rsidRPr="009C1403" w:rsidRDefault="007D2781" w:rsidP="00A17B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65" w:type="dxa"/>
          </w:tcPr>
          <w:p w14:paraId="235C350C" w14:textId="77777777" w:rsidR="007D2781" w:rsidRPr="00461B15" w:rsidRDefault="007D2781" w:rsidP="00A17BE1">
            <w:pPr>
              <w:jc w:val="center"/>
            </w:pPr>
            <w:r>
              <w:t>12</w:t>
            </w:r>
          </w:p>
        </w:tc>
        <w:tc>
          <w:tcPr>
            <w:tcW w:w="1151" w:type="dxa"/>
            <w:vAlign w:val="center"/>
          </w:tcPr>
          <w:p w14:paraId="236BD3D5" w14:textId="77777777" w:rsidR="007D2781" w:rsidRDefault="007D2781" w:rsidP="005F0D90">
            <w:pPr>
              <w:jc w:val="center"/>
            </w:pPr>
            <w:r>
              <w:t>15</w:t>
            </w:r>
          </w:p>
        </w:tc>
        <w:tc>
          <w:tcPr>
            <w:tcW w:w="1070" w:type="dxa"/>
          </w:tcPr>
          <w:p w14:paraId="7AAA52A0" w14:textId="77777777" w:rsidR="007D2781" w:rsidRDefault="007D2781" w:rsidP="005F0D90">
            <w:pPr>
              <w:jc w:val="center"/>
            </w:pPr>
            <w:r>
              <w:t>13</w:t>
            </w:r>
          </w:p>
        </w:tc>
        <w:tc>
          <w:tcPr>
            <w:tcW w:w="1051" w:type="dxa"/>
          </w:tcPr>
          <w:p w14:paraId="7330CE2D" w14:textId="77777777" w:rsidR="007D2781" w:rsidRDefault="007D2781" w:rsidP="007D2781">
            <w:pPr>
              <w:jc w:val="center"/>
            </w:pPr>
            <w:r>
              <w:t>18</w:t>
            </w:r>
          </w:p>
        </w:tc>
      </w:tr>
      <w:tr w:rsidR="007D2781" w14:paraId="7E823EFC" w14:textId="77777777" w:rsidTr="00561412">
        <w:tc>
          <w:tcPr>
            <w:tcW w:w="4140" w:type="dxa"/>
          </w:tcPr>
          <w:p w14:paraId="0BEC6B55" w14:textId="77777777" w:rsidR="007D2781" w:rsidRPr="009C1403" w:rsidRDefault="007D2781" w:rsidP="00A90B26">
            <w:pPr>
              <w:ind w:left="720" w:hanging="694"/>
            </w:pPr>
            <w:r w:rsidRPr="009C1403">
              <w:t>Mokslinė</w:t>
            </w:r>
            <w:r>
              <w:t>s konferencijos</w:t>
            </w:r>
          </w:p>
        </w:tc>
        <w:tc>
          <w:tcPr>
            <w:tcW w:w="1237" w:type="dxa"/>
          </w:tcPr>
          <w:p w14:paraId="07DE629D" w14:textId="77777777" w:rsidR="007D2781" w:rsidRPr="009C1403" w:rsidRDefault="007D2781" w:rsidP="00A17B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65" w:type="dxa"/>
          </w:tcPr>
          <w:p w14:paraId="7979E67E" w14:textId="77777777" w:rsidR="007D2781" w:rsidRPr="00461B15" w:rsidRDefault="007D2781" w:rsidP="00A17BE1">
            <w:pPr>
              <w:jc w:val="center"/>
            </w:pPr>
            <w:r>
              <w:t>1</w:t>
            </w:r>
          </w:p>
        </w:tc>
        <w:tc>
          <w:tcPr>
            <w:tcW w:w="1151" w:type="dxa"/>
            <w:vAlign w:val="center"/>
          </w:tcPr>
          <w:p w14:paraId="548C5839" w14:textId="77777777" w:rsidR="007D2781" w:rsidRDefault="007D2781" w:rsidP="005F0D90">
            <w:pPr>
              <w:jc w:val="center"/>
            </w:pPr>
            <w:r>
              <w:t>–</w:t>
            </w:r>
          </w:p>
        </w:tc>
        <w:tc>
          <w:tcPr>
            <w:tcW w:w="1070" w:type="dxa"/>
          </w:tcPr>
          <w:p w14:paraId="272164A4" w14:textId="77777777" w:rsidR="007D2781" w:rsidRDefault="007D2781" w:rsidP="005F0D90">
            <w:pPr>
              <w:jc w:val="center"/>
            </w:pPr>
            <w:r>
              <w:t>1</w:t>
            </w:r>
          </w:p>
        </w:tc>
        <w:tc>
          <w:tcPr>
            <w:tcW w:w="1051" w:type="dxa"/>
          </w:tcPr>
          <w:p w14:paraId="471EAA90" w14:textId="77777777" w:rsidR="007D2781" w:rsidRDefault="007D2781" w:rsidP="007D2781">
            <w:pPr>
              <w:jc w:val="center"/>
            </w:pPr>
            <w:r>
              <w:t>–</w:t>
            </w:r>
          </w:p>
        </w:tc>
      </w:tr>
      <w:tr w:rsidR="007D2781" w14:paraId="4819E861" w14:textId="77777777" w:rsidTr="00561412">
        <w:tc>
          <w:tcPr>
            <w:tcW w:w="4140" w:type="dxa"/>
          </w:tcPr>
          <w:p w14:paraId="65B7403B" w14:textId="77777777" w:rsidR="007D2781" w:rsidRPr="009C1403" w:rsidRDefault="007D2781" w:rsidP="00A90B26">
            <w:pPr>
              <w:ind w:left="720" w:hanging="694"/>
            </w:pPr>
            <w:r>
              <w:t>Nuotoliniai renginiai</w:t>
            </w:r>
          </w:p>
        </w:tc>
        <w:tc>
          <w:tcPr>
            <w:tcW w:w="1237" w:type="dxa"/>
          </w:tcPr>
          <w:p w14:paraId="42280CD9" w14:textId="77777777" w:rsidR="007D2781" w:rsidRPr="009C1403" w:rsidRDefault="00940EDE" w:rsidP="00A17BE1">
            <w:pPr>
              <w:jc w:val="center"/>
              <w:rPr>
                <w:color w:val="000000" w:themeColor="text1"/>
              </w:rPr>
            </w:pPr>
            <w:r>
              <w:t>–</w:t>
            </w:r>
          </w:p>
        </w:tc>
        <w:tc>
          <w:tcPr>
            <w:tcW w:w="1065" w:type="dxa"/>
          </w:tcPr>
          <w:p w14:paraId="1581AC83" w14:textId="77777777" w:rsidR="007D2781" w:rsidRPr="00461B15" w:rsidRDefault="007D2781" w:rsidP="00A17BE1">
            <w:pPr>
              <w:jc w:val="center"/>
            </w:pPr>
            <w:r>
              <w:t>–</w:t>
            </w:r>
          </w:p>
        </w:tc>
        <w:tc>
          <w:tcPr>
            <w:tcW w:w="1151" w:type="dxa"/>
            <w:vAlign w:val="center"/>
          </w:tcPr>
          <w:p w14:paraId="2AC3E29A" w14:textId="77777777" w:rsidR="007D2781" w:rsidRDefault="007D2781" w:rsidP="005F0D90">
            <w:pPr>
              <w:jc w:val="center"/>
            </w:pPr>
            <w:r>
              <w:t>–</w:t>
            </w:r>
          </w:p>
        </w:tc>
        <w:tc>
          <w:tcPr>
            <w:tcW w:w="1070" w:type="dxa"/>
          </w:tcPr>
          <w:p w14:paraId="37D8EC96" w14:textId="77777777" w:rsidR="007D2781" w:rsidRDefault="00940EDE" w:rsidP="005F0D90">
            <w:pPr>
              <w:jc w:val="center"/>
            </w:pPr>
            <w:r>
              <w:t>–</w:t>
            </w:r>
          </w:p>
        </w:tc>
        <w:tc>
          <w:tcPr>
            <w:tcW w:w="1051" w:type="dxa"/>
          </w:tcPr>
          <w:p w14:paraId="17F90AA4" w14:textId="77777777" w:rsidR="007D2781" w:rsidRDefault="007D2781" w:rsidP="007D2781">
            <w:pPr>
              <w:jc w:val="center"/>
            </w:pPr>
            <w:r>
              <w:t>12</w:t>
            </w:r>
          </w:p>
        </w:tc>
      </w:tr>
      <w:tr w:rsidR="007D2781" w14:paraId="646E893F" w14:textId="77777777" w:rsidTr="00561412">
        <w:tc>
          <w:tcPr>
            <w:tcW w:w="4140" w:type="dxa"/>
          </w:tcPr>
          <w:p w14:paraId="24F4B0EC" w14:textId="4F2E53C4" w:rsidR="007D2781" w:rsidRPr="00DD51E7" w:rsidRDefault="008B7499" w:rsidP="00A17BE1">
            <w:pPr>
              <w:ind w:left="720" w:hanging="694"/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="007D2781" w:rsidRPr="00DD51E7">
              <w:rPr>
                <w:b/>
              </w:rPr>
              <w:t>iso</w:t>
            </w:r>
          </w:p>
        </w:tc>
        <w:tc>
          <w:tcPr>
            <w:tcW w:w="1237" w:type="dxa"/>
          </w:tcPr>
          <w:p w14:paraId="5A3425D9" w14:textId="77777777" w:rsidR="007D2781" w:rsidRDefault="007D2781" w:rsidP="00A17B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</w:t>
            </w:r>
          </w:p>
        </w:tc>
        <w:tc>
          <w:tcPr>
            <w:tcW w:w="1065" w:type="dxa"/>
          </w:tcPr>
          <w:p w14:paraId="1D9CE70D" w14:textId="77777777" w:rsidR="007D2781" w:rsidRPr="00461B15" w:rsidRDefault="007D2781" w:rsidP="00A17BE1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218</w:t>
            </w:r>
            <w:r>
              <w:fldChar w:fldCharType="end"/>
            </w:r>
          </w:p>
        </w:tc>
        <w:tc>
          <w:tcPr>
            <w:tcW w:w="1151" w:type="dxa"/>
            <w:vAlign w:val="center"/>
          </w:tcPr>
          <w:p w14:paraId="2758A2CF" w14:textId="77777777" w:rsidR="007D2781" w:rsidRDefault="007D2781" w:rsidP="005F0D90">
            <w:pPr>
              <w:jc w:val="center"/>
            </w:pPr>
            <w:r>
              <w:t>229</w:t>
            </w:r>
          </w:p>
        </w:tc>
        <w:tc>
          <w:tcPr>
            <w:tcW w:w="1070" w:type="dxa"/>
          </w:tcPr>
          <w:p w14:paraId="0E6AA4D0" w14:textId="77777777" w:rsidR="007D2781" w:rsidRDefault="007D2781" w:rsidP="005F0D90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222</w:t>
            </w:r>
            <w:r>
              <w:fldChar w:fldCharType="end"/>
            </w:r>
          </w:p>
        </w:tc>
        <w:tc>
          <w:tcPr>
            <w:tcW w:w="1051" w:type="dxa"/>
          </w:tcPr>
          <w:p w14:paraId="2C416939" w14:textId="77777777" w:rsidR="007D2781" w:rsidRDefault="007D2781" w:rsidP="007D2781">
            <w:pPr>
              <w:jc w:val="center"/>
            </w:pPr>
            <w:r>
              <w:t>179</w:t>
            </w:r>
          </w:p>
        </w:tc>
      </w:tr>
    </w:tbl>
    <w:p w14:paraId="7F94120C" w14:textId="77777777" w:rsidR="00116E47" w:rsidRDefault="00116E47" w:rsidP="00045B7E">
      <w:pPr>
        <w:ind w:firstLine="567"/>
        <w:jc w:val="both"/>
      </w:pPr>
    </w:p>
    <w:p w14:paraId="6E85403B" w14:textId="1BAD1FA4" w:rsidR="008A07E8" w:rsidRPr="00BA7EA8" w:rsidRDefault="008A07E8" w:rsidP="00C4618A">
      <w:pPr>
        <w:ind w:firstLine="1296"/>
        <w:jc w:val="both"/>
        <w:rPr>
          <w:b/>
        </w:rPr>
      </w:pPr>
      <w:r>
        <w:rPr>
          <w:u w:val="single"/>
        </w:rPr>
        <w:t xml:space="preserve"> </w:t>
      </w:r>
      <w:r w:rsidR="000B358E">
        <w:rPr>
          <w:u w:val="single"/>
        </w:rPr>
        <w:t>2.</w:t>
      </w:r>
      <w:r w:rsidR="00C4618A">
        <w:rPr>
          <w:u w:val="single"/>
        </w:rPr>
        <w:t>4</w:t>
      </w:r>
      <w:r w:rsidR="000B358E">
        <w:rPr>
          <w:u w:val="single"/>
        </w:rPr>
        <w:t xml:space="preserve">. </w:t>
      </w:r>
      <w:r w:rsidR="00F93ED4" w:rsidRPr="000B358E">
        <w:rPr>
          <w:u w:val="single"/>
        </w:rPr>
        <w:t>Vidaus ir išorės problemos ir siūlomi problemų sprendimo būdai</w:t>
      </w:r>
      <w:r w:rsidR="000B358E">
        <w:rPr>
          <w:u w:val="single"/>
        </w:rPr>
        <w:t>:</w:t>
      </w:r>
      <w:r w:rsidR="000B358E" w:rsidRPr="007B3BE8">
        <w:t xml:space="preserve"> </w:t>
      </w:r>
      <w:r w:rsidR="007B3BE8">
        <w:t>remiantis Kultūros centrų įstatymu, j</w:t>
      </w:r>
      <w:r w:rsidR="007B3BE8" w:rsidRPr="007B3BE8">
        <w:t>uridinis asmuo, siekiantis pripažinimo kultūros centru, turi atlikti ne mažiau kaip</w:t>
      </w:r>
      <w:r w:rsidR="00C4618A">
        <w:t xml:space="preserve"> </w:t>
      </w:r>
      <w:r w:rsidR="007B3BE8">
        <w:t>2</w:t>
      </w:r>
      <w:r w:rsidR="007B3BE8" w:rsidRPr="007B3BE8">
        <w:t xml:space="preserve"> </w:t>
      </w:r>
      <w:r w:rsidR="007B3BE8">
        <w:t>įstatyme nurodytas funkcijas. Šiuo metu Centras atlieka 8 iš 10 Kultūros centrų įstatyme nurodyt</w:t>
      </w:r>
      <w:r w:rsidR="008B7499">
        <w:t>ų</w:t>
      </w:r>
      <w:r w:rsidR="007B3BE8">
        <w:t xml:space="preserve"> funkcij</w:t>
      </w:r>
      <w:r w:rsidR="008B7499">
        <w:t>ų</w:t>
      </w:r>
      <w:r w:rsidR="00A552EE">
        <w:t>. 2018-10-26 vykusiame Kuratoriumo posėdyje, buvo pasiūlyta Centrui savo veikloje remtis</w:t>
      </w:r>
      <w:r w:rsidR="007B3BE8">
        <w:t xml:space="preserve"> </w:t>
      </w:r>
      <w:r w:rsidR="00A552EE">
        <w:t xml:space="preserve">etnine (tradicine) kultūra, regiono </w:t>
      </w:r>
      <w:r w:rsidR="006E0BE6">
        <w:t>bei</w:t>
      </w:r>
      <w:r w:rsidR="00A552EE">
        <w:t xml:space="preserve"> Juodkrantės savitumu</w:t>
      </w:r>
      <w:r w:rsidR="006E0BE6">
        <w:t xml:space="preserve"> ir</w:t>
      </w:r>
      <w:r w:rsidR="00A552EE">
        <w:t xml:space="preserve"> išskirtinumu. </w:t>
      </w:r>
      <w:r w:rsidR="00AF4AAB">
        <w:t>D</w:t>
      </w:r>
      <w:r w:rsidR="00F74C67" w:rsidRPr="00B7691F">
        <w:t>idėjantys papildomi darbo krūviai įgyvendinant kultūros ir meno</w:t>
      </w:r>
      <w:r w:rsidR="00433851">
        <w:t xml:space="preserve"> </w:t>
      </w:r>
      <w:r w:rsidR="00F74C67" w:rsidRPr="00B7691F">
        <w:t>projektus reikalauja didinti žmogiškuosius resursus,</w:t>
      </w:r>
      <w:r>
        <w:t xml:space="preserve"> t.</w:t>
      </w:r>
      <w:r w:rsidR="008B7499">
        <w:t xml:space="preserve"> </w:t>
      </w:r>
      <w:r>
        <w:t xml:space="preserve">y. </w:t>
      </w:r>
      <w:r w:rsidR="00F74C67" w:rsidRPr="00B7691F">
        <w:t>reikalingas specia</w:t>
      </w:r>
      <w:r>
        <w:t>listas, kuris vykdytų mokslinę</w:t>
      </w:r>
      <w:r w:rsidR="008B7499">
        <w:t>-</w:t>
      </w:r>
      <w:r w:rsidR="00F74C67" w:rsidRPr="00B7691F">
        <w:t>kultūrinę veiklą, dirbtų su muziejinėmis vertybėmis istorinėje ekspozicijoje, rašytų projektus, kurtų edukacines programas</w:t>
      </w:r>
      <w:r w:rsidR="00AF4AAB">
        <w:t>,</w:t>
      </w:r>
      <w:r w:rsidR="000B358E">
        <w:t xml:space="preserve"> </w:t>
      </w:r>
      <w:r w:rsidR="00AF4AAB">
        <w:t xml:space="preserve">dirbtų su Kultūros paso paslauga. </w:t>
      </w:r>
    </w:p>
    <w:p w14:paraId="08FE0A9A" w14:textId="088B0929" w:rsidR="00960594" w:rsidRPr="009F0D16" w:rsidRDefault="008A07E8" w:rsidP="00165E8D">
      <w:pPr>
        <w:ind w:firstLine="360"/>
        <w:jc w:val="both"/>
      </w:pPr>
      <w:r>
        <w:t xml:space="preserve">  </w:t>
      </w:r>
      <w:r w:rsidR="00AF4AAB">
        <w:tab/>
      </w:r>
      <w:r w:rsidR="000B358E" w:rsidRPr="009F0D16">
        <w:t>P</w:t>
      </w:r>
      <w:r w:rsidR="00F74C67" w:rsidRPr="009F0D16">
        <w:t xml:space="preserve">rie koncertų salės </w:t>
      </w:r>
      <w:r w:rsidR="000B358E" w:rsidRPr="009F0D16">
        <w:t xml:space="preserve">ir lauko estrados </w:t>
      </w:r>
      <w:r w:rsidR="00F74C67" w:rsidRPr="009F0D16">
        <w:t>vasar</w:t>
      </w:r>
      <w:r w:rsidR="008B7499">
        <w:t xml:space="preserve">ą </w:t>
      </w:r>
      <w:r w:rsidR="00F74C67" w:rsidRPr="009F0D16">
        <w:t xml:space="preserve">sudėtingas privažiavimas, </w:t>
      </w:r>
      <w:r w:rsidR="008B7499" w:rsidRPr="009F0D16">
        <w:t>ypa</w:t>
      </w:r>
      <w:r w:rsidR="008B7499">
        <w:t xml:space="preserve">č </w:t>
      </w:r>
      <w:r w:rsidR="00F74C67" w:rsidRPr="009F0D16">
        <w:t>vasar</w:t>
      </w:r>
      <w:r w:rsidR="008B7499">
        <w:t xml:space="preserve">ą </w:t>
      </w:r>
      <w:r w:rsidRPr="009F0D16">
        <w:t>susiduriama su automobilių statymo</w:t>
      </w:r>
      <w:r w:rsidR="00F74C67" w:rsidRPr="009F0D16">
        <w:t xml:space="preserve"> problema.</w:t>
      </w:r>
      <w:r w:rsidR="00F729FB">
        <w:t xml:space="preserve"> Reikėtų remontuoti lauko estrados stogą.</w:t>
      </w:r>
      <w:r w:rsidR="00F74C67" w:rsidRPr="009F0D16">
        <w:t xml:space="preserve"> </w:t>
      </w:r>
      <w:r w:rsidR="00960594" w:rsidRPr="00960594">
        <w:t>Kultūros centro pastate, esančiame L. Rėzos g. 8 B</w:t>
      </w:r>
      <w:r w:rsidR="008B7499">
        <w:t>,</w:t>
      </w:r>
      <w:r w:rsidR="00960594" w:rsidRPr="00960594">
        <w:t xml:space="preserve"> reikėtų atlikti išorės remonto darbus</w:t>
      </w:r>
      <w:r w:rsidR="00165E8D">
        <w:t>,</w:t>
      </w:r>
      <w:r w:rsidR="00960594" w:rsidRPr="00960594">
        <w:t xml:space="preserve"> </w:t>
      </w:r>
      <w:r w:rsidR="00165E8D">
        <w:t>p</w:t>
      </w:r>
      <w:r w:rsidR="00960594" w:rsidRPr="00960594">
        <w:t>er 14 metų supuvo medinės pastato dalys (vėjalentės krenta nuo stogo, įėjimo čerpinio stogelio svorio neišlaiko supuvusios medinės konstrukcijos, jis pastebimai pasviręs, prie pagrindinio įėjimo grindinio akmenys nestabilūs, pavojinga vaikščioti).</w:t>
      </w:r>
    </w:p>
    <w:p w14:paraId="14E97078" w14:textId="4CF28CC8" w:rsidR="00CB47D1" w:rsidRDefault="00316F89" w:rsidP="009F0D16">
      <w:pPr>
        <w:ind w:firstLine="1296"/>
        <w:jc w:val="both"/>
      </w:pPr>
      <w:r>
        <w:t xml:space="preserve">Šalia Liudviko Rėzos kultūros centro parodų salės </w:t>
      </w:r>
      <w:r w:rsidRPr="00F80498">
        <w:rPr>
          <w:bCs/>
          <w:szCs w:val="20"/>
        </w:rPr>
        <w:t xml:space="preserve">planuojama statyti Kuršių nerijos nacionalinio parko direkcijos </w:t>
      </w:r>
      <w:r w:rsidR="002338A2">
        <w:rPr>
          <w:bCs/>
          <w:szCs w:val="20"/>
        </w:rPr>
        <w:t>l</w:t>
      </w:r>
      <w:r w:rsidRPr="00F80498">
        <w:rPr>
          <w:bCs/>
          <w:szCs w:val="20"/>
        </w:rPr>
        <w:t xml:space="preserve">ankytojų centrą, </w:t>
      </w:r>
      <w:r>
        <w:rPr>
          <w:bCs/>
          <w:szCs w:val="20"/>
        </w:rPr>
        <w:t xml:space="preserve">kuriame </w:t>
      </w:r>
      <w:r w:rsidR="00CB47D1" w:rsidRPr="009F0D16">
        <w:t>bus organizuojam</w:t>
      </w:r>
      <w:r w:rsidR="009F0D16" w:rsidRPr="009F0D16">
        <w:t xml:space="preserve">i </w:t>
      </w:r>
      <w:r w:rsidR="00CB47D1">
        <w:t>turizmo, kultūrini</w:t>
      </w:r>
      <w:r w:rsidR="009F0D16">
        <w:t xml:space="preserve">ai, </w:t>
      </w:r>
      <w:r w:rsidR="00CB47D1">
        <w:t>pramogini</w:t>
      </w:r>
      <w:r w:rsidR="0087260C">
        <w:t>ai</w:t>
      </w:r>
      <w:r w:rsidR="00CB47D1">
        <w:t xml:space="preserve"> ir edukacini</w:t>
      </w:r>
      <w:r w:rsidR="0087260C">
        <w:t>ai</w:t>
      </w:r>
      <w:r w:rsidR="00CB47D1">
        <w:t xml:space="preserve"> rengini</w:t>
      </w:r>
      <w:r w:rsidR="009F0D16">
        <w:t>ai.</w:t>
      </w:r>
      <w:r w:rsidR="00CB47D1">
        <w:t xml:space="preserve"> Lankytojų centre taip pat bus vykdoma smulki</w:t>
      </w:r>
      <w:r w:rsidR="009F0D16">
        <w:t xml:space="preserve"> </w:t>
      </w:r>
      <w:r w:rsidR="00CB47D1">
        <w:t>prekyba suvenyrais, informaciniais leidiniais ir t.</w:t>
      </w:r>
      <w:r w:rsidR="002338A2">
        <w:t xml:space="preserve"> </w:t>
      </w:r>
      <w:r w:rsidR="00CB47D1">
        <w:t>t.</w:t>
      </w:r>
      <w:r w:rsidR="009F0D16">
        <w:t xml:space="preserve"> Kyla grėsmė</w:t>
      </w:r>
      <w:r>
        <w:t>, kad dubliuosis šalia veikiančių</w:t>
      </w:r>
      <w:r w:rsidR="009F0D16">
        <w:t xml:space="preserve"> </w:t>
      </w:r>
      <w:r>
        <w:t xml:space="preserve">įstaigų </w:t>
      </w:r>
      <w:r w:rsidR="009F0D16">
        <w:t>veikl</w:t>
      </w:r>
      <w:r>
        <w:t>os, bet, įsikūrus naujoms erdvėms, atsiranda galimybė bendradarbiaujant organizuoti kokybiškesnius renginius.</w:t>
      </w:r>
      <w:r w:rsidR="009F0D16">
        <w:t xml:space="preserve"> </w:t>
      </w:r>
      <w:r>
        <w:t xml:space="preserve">Liudviko Rėzos kultūros centras ateityje turės </w:t>
      </w:r>
      <w:r>
        <w:rPr>
          <w:bCs/>
          <w:szCs w:val="20"/>
        </w:rPr>
        <w:t xml:space="preserve">labiau išgryninti savo veiklos sritis, nedubliuoti paslaugų, o ieškoti didesnės sinergijos ir bendradarbiavimo galimybių. </w:t>
      </w:r>
      <w:r w:rsidR="0087260C">
        <w:rPr>
          <w:bCs/>
          <w:szCs w:val="20"/>
        </w:rPr>
        <w:t>Taip pat,</w:t>
      </w:r>
      <w:r w:rsidR="00996492">
        <w:rPr>
          <w:bCs/>
          <w:szCs w:val="20"/>
        </w:rPr>
        <w:t xml:space="preserve"> Liudviko Rėzos kultūros centro</w:t>
      </w:r>
      <w:r w:rsidR="0087260C">
        <w:rPr>
          <w:bCs/>
          <w:szCs w:val="20"/>
        </w:rPr>
        <w:t xml:space="preserve"> ir Kuršių nerijos nacionalinio parko direkcijos </w:t>
      </w:r>
      <w:r w:rsidR="002338A2">
        <w:rPr>
          <w:bCs/>
          <w:szCs w:val="20"/>
        </w:rPr>
        <w:t>l</w:t>
      </w:r>
      <w:r w:rsidR="0087260C">
        <w:rPr>
          <w:bCs/>
          <w:szCs w:val="20"/>
        </w:rPr>
        <w:t xml:space="preserve">ankytojų centro pastatai turi bendrus vandentiekio, nuotėkų šalinimo, šilumos ir elektros perdavimo tinklus. </w:t>
      </w:r>
    </w:p>
    <w:p w14:paraId="5A8C59C0" w14:textId="77777777" w:rsidR="00316F89" w:rsidRDefault="00316F89" w:rsidP="00316F89">
      <w:pPr>
        <w:tabs>
          <w:tab w:val="left" w:pos="0"/>
        </w:tabs>
        <w:ind w:firstLine="709"/>
        <w:jc w:val="both"/>
        <w:rPr>
          <w:szCs w:val="20"/>
        </w:rPr>
      </w:pPr>
      <w:r>
        <w:rPr>
          <w:bCs/>
          <w:szCs w:val="20"/>
        </w:rPr>
        <w:tab/>
      </w:r>
      <w:r w:rsidR="00996492">
        <w:rPr>
          <w:bCs/>
          <w:szCs w:val="20"/>
        </w:rPr>
        <w:t xml:space="preserve">Dėl karantino apribojimų </w:t>
      </w:r>
      <w:r w:rsidR="00B26117">
        <w:rPr>
          <w:bCs/>
          <w:szCs w:val="20"/>
        </w:rPr>
        <w:t>teko keisti veiklos pobūdį, visus renginius perkėlėme į virtualią erdvę.</w:t>
      </w:r>
    </w:p>
    <w:p w14:paraId="555BF064" w14:textId="77777777" w:rsidR="00996492" w:rsidRDefault="00996492" w:rsidP="00316F89">
      <w:pPr>
        <w:tabs>
          <w:tab w:val="left" w:pos="0"/>
        </w:tabs>
        <w:ind w:firstLine="709"/>
        <w:jc w:val="both"/>
        <w:rPr>
          <w:szCs w:val="20"/>
        </w:rPr>
      </w:pPr>
    </w:p>
    <w:p w14:paraId="43221DC5" w14:textId="77777777" w:rsidR="00F93ED4" w:rsidRPr="005F0D90" w:rsidRDefault="005F0D90" w:rsidP="0087260C">
      <w:pPr>
        <w:ind w:firstLine="1296"/>
        <w:rPr>
          <w:b/>
        </w:rPr>
      </w:pPr>
      <w:r>
        <w:rPr>
          <w:b/>
        </w:rPr>
        <w:t xml:space="preserve">3. </w:t>
      </w:r>
      <w:r w:rsidR="003964BF" w:rsidRPr="005F0D90">
        <w:rPr>
          <w:b/>
        </w:rPr>
        <w:t>Liudviko Rėzos kultūros centro</w:t>
      </w:r>
      <w:r w:rsidR="00F93ED4" w:rsidRPr="005F0D90">
        <w:rPr>
          <w:b/>
        </w:rPr>
        <w:t xml:space="preserve"> finansinės veiklos ataskaita:</w:t>
      </w:r>
    </w:p>
    <w:p w14:paraId="0EDCE88F" w14:textId="77777777" w:rsidR="00A17BE1" w:rsidRDefault="00A17BE1" w:rsidP="00FD7130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92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1276"/>
        <w:gridCol w:w="1276"/>
        <w:gridCol w:w="1276"/>
        <w:gridCol w:w="2127"/>
      </w:tblGrid>
      <w:tr w:rsidR="00C503C3" w:rsidRPr="00A17BE1" w14:paraId="306BBAB6" w14:textId="77777777" w:rsidTr="0087260C">
        <w:tc>
          <w:tcPr>
            <w:tcW w:w="2694" w:type="dxa"/>
            <w:vMerge w:val="restart"/>
            <w:vAlign w:val="center"/>
          </w:tcPr>
          <w:p w14:paraId="4BD26F32" w14:textId="77777777" w:rsidR="00C503C3" w:rsidRPr="00390A81" w:rsidRDefault="00C503C3" w:rsidP="00390A81">
            <w:pPr>
              <w:jc w:val="center"/>
              <w:rPr>
                <w:b/>
                <w:i/>
              </w:rPr>
            </w:pPr>
            <w:r w:rsidRPr="00390A81">
              <w:rPr>
                <w:b/>
                <w:i/>
              </w:rPr>
              <w:t>Lėšų pavadinimas</w:t>
            </w:r>
          </w:p>
          <w:p w14:paraId="6300A24F" w14:textId="77777777" w:rsidR="00C503C3" w:rsidRPr="00390A81" w:rsidRDefault="00C503C3" w:rsidP="00390A81">
            <w:pPr>
              <w:jc w:val="center"/>
              <w:rPr>
                <w:b/>
                <w:i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2A5FA60A" w14:textId="77777777" w:rsidR="00C503C3" w:rsidRPr="00390A81" w:rsidRDefault="00C503C3" w:rsidP="00390A81">
            <w:pPr>
              <w:jc w:val="center"/>
              <w:rPr>
                <w:b/>
                <w:i/>
              </w:rPr>
            </w:pPr>
            <w:r w:rsidRPr="00390A81">
              <w:rPr>
                <w:b/>
                <w:i/>
              </w:rPr>
              <w:t>Lėšų dydis, tūkst. Eur</w:t>
            </w:r>
            <w:r>
              <w:rPr>
                <w:b/>
                <w:i/>
              </w:rPr>
              <w:t>.</w:t>
            </w:r>
          </w:p>
        </w:tc>
        <w:tc>
          <w:tcPr>
            <w:tcW w:w="2127" w:type="dxa"/>
            <w:vAlign w:val="center"/>
          </w:tcPr>
          <w:p w14:paraId="32719258" w14:textId="77777777" w:rsidR="00C503C3" w:rsidRPr="00390A81" w:rsidRDefault="00C503C3" w:rsidP="00390A81">
            <w:pPr>
              <w:jc w:val="center"/>
              <w:rPr>
                <w:b/>
                <w:i/>
              </w:rPr>
            </w:pPr>
          </w:p>
          <w:p w14:paraId="4A080319" w14:textId="77777777" w:rsidR="00C503C3" w:rsidRPr="00390A81" w:rsidRDefault="00C503C3" w:rsidP="00390A81">
            <w:pPr>
              <w:jc w:val="center"/>
              <w:rPr>
                <w:b/>
                <w:i/>
              </w:rPr>
            </w:pPr>
            <w:r w:rsidRPr="00390A81">
              <w:rPr>
                <w:b/>
                <w:i/>
              </w:rPr>
              <w:t>Panaudojimas</w:t>
            </w:r>
          </w:p>
        </w:tc>
      </w:tr>
      <w:tr w:rsidR="00C503C3" w:rsidRPr="00A17BE1" w14:paraId="08E0B4C5" w14:textId="77777777" w:rsidTr="0087260C">
        <w:trPr>
          <w:trHeight w:val="381"/>
        </w:trPr>
        <w:tc>
          <w:tcPr>
            <w:tcW w:w="2694" w:type="dxa"/>
            <w:vMerge/>
            <w:vAlign w:val="center"/>
          </w:tcPr>
          <w:p w14:paraId="2FE6AFC9" w14:textId="77777777" w:rsidR="00C503C3" w:rsidRPr="00390A81" w:rsidRDefault="00C503C3" w:rsidP="00390A81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3FF2796D" w14:textId="77777777" w:rsidR="00C503C3" w:rsidRPr="00390A81" w:rsidRDefault="00C503C3" w:rsidP="00F440BE">
            <w:pPr>
              <w:rPr>
                <w:b/>
                <w:i/>
              </w:rPr>
            </w:pPr>
            <w:r w:rsidRPr="00390A81">
              <w:rPr>
                <w:b/>
                <w:i/>
              </w:rPr>
              <w:t>201</w:t>
            </w:r>
            <w:r w:rsidR="00F9388C">
              <w:rPr>
                <w:b/>
                <w:i/>
              </w:rPr>
              <w:t>7</w:t>
            </w:r>
            <w:r w:rsidRPr="00390A81">
              <w:rPr>
                <w:b/>
                <w:i/>
              </w:rPr>
              <w:t xml:space="preserve"> m.</w:t>
            </w:r>
          </w:p>
        </w:tc>
        <w:tc>
          <w:tcPr>
            <w:tcW w:w="1276" w:type="dxa"/>
            <w:vAlign w:val="center"/>
          </w:tcPr>
          <w:p w14:paraId="54292868" w14:textId="77777777" w:rsidR="00C503C3" w:rsidRPr="00390A81" w:rsidRDefault="00C503C3" w:rsidP="00F440BE">
            <w:pPr>
              <w:rPr>
                <w:b/>
                <w:i/>
              </w:rPr>
            </w:pPr>
            <w:r w:rsidRPr="00390A81">
              <w:rPr>
                <w:b/>
                <w:i/>
              </w:rPr>
              <w:t>201</w:t>
            </w:r>
            <w:r w:rsidR="00F9388C">
              <w:rPr>
                <w:b/>
                <w:i/>
              </w:rPr>
              <w:t>8</w:t>
            </w:r>
            <w:r w:rsidRPr="00390A81">
              <w:rPr>
                <w:b/>
                <w:i/>
              </w:rPr>
              <w:t xml:space="preserve"> m.</w:t>
            </w:r>
          </w:p>
        </w:tc>
        <w:tc>
          <w:tcPr>
            <w:tcW w:w="1276" w:type="dxa"/>
            <w:vAlign w:val="center"/>
          </w:tcPr>
          <w:p w14:paraId="4A000781" w14:textId="77777777" w:rsidR="00C503C3" w:rsidRPr="00390A81" w:rsidRDefault="00C503C3" w:rsidP="00F440BE">
            <w:pPr>
              <w:rPr>
                <w:b/>
                <w:i/>
              </w:rPr>
            </w:pPr>
            <w:r>
              <w:rPr>
                <w:b/>
                <w:i/>
              </w:rPr>
              <w:t>201</w:t>
            </w:r>
            <w:r w:rsidR="00B97EFD">
              <w:rPr>
                <w:b/>
                <w:i/>
              </w:rPr>
              <w:t>9</w:t>
            </w:r>
            <w:r>
              <w:rPr>
                <w:b/>
                <w:i/>
              </w:rPr>
              <w:t xml:space="preserve"> m.</w:t>
            </w:r>
          </w:p>
        </w:tc>
        <w:tc>
          <w:tcPr>
            <w:tcW w:w="1276" w:type="dxa"/>
          </w:tcPr>
          <w:p w14:paraId="7E2CC503" w14:textId="77777777" w:rsidR="00C503C3" w:rsidRPr="00390A81" w:rsidRDefault="00C503C3" w:rsidP="00F440BE">
            <w:pPr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  <w:r w:rsidR="00F440BE">
              <w:rPr>
                <w:b/>
                <w:i/>
              </w:rPr>
              <w:t>20</w:t>
            </w:r>
            <w:r>
              <w:rPr>
                <w:b/>
                <w:i/>
              </w:rPr>
              <w:t xml:space="preserve"> m.</w:t>
            </w:r>
          </w:p>
        </w:tc>
        <w:tc>
          <w:tcPr>
            <w:tcW w:w="2127" w:type="dxa"/>
            <w:vAlign w:val="center"/>
          </w:tcPr>
          <w:p w14:paraId="168F0C8A" w14:textId="77777777" w:rsidR="00C503C3" w:rsidRPr="00390A81" w:rsidRDefault="00C503C3" w:rsidP="00390A81">
            <w:pPr>
              <w:jc w:val="center"/>
              <w:rPr>
                <w:b/>
                <w:i/>
              </w:rPr>
            </w:pPr>
          </w:p>
        </w:tc>
      </w:tr>
      <w:tr w:rsidR="00C503C3" w:rsidRPr="00A17BE1" w14:paraId="1FA92A47" w14:textId="77777777" w:rsidTr="0087260C">
        <w:tc>
          <w:tcPr>
            <w:tcW w:w="2694" w:type="dxa"/>
            <w:vMerge w:val="restart"/>
          </w:tcPr>
          <w:p w14:paraId="2F83AA9B" w14:textId="77777777" w:rsidR="00C503C3" w:rsidRPr="00A17BE1" w:rsidRDefault="00C503C3" w:rsidP="007D2781">
            <w:r w:rsidRPr="00A17BE1">
              <w:t>Savivaldybės biudžeto lėšos</w:t>
            </w:r>
          </w:p>
        </w:tc>
        <w:tc>
          <w:tcPr>
            <w:tcW w:w="1275" w:type="dxa"/>
          </w:tcPr>
          <w:p w14:paraId="6934C942" w14:textId="77777777" w:rsidR="00C503C3" w:rsidRPr="00A17BE1" w:rsidRDefault="00284A21" w:rsidP="007D2781">
            <w:pPr>
              <w:jc w:val="center"/>
            </w:pPr>
            <w:r>
              <w:t>88,3</w:t>
            </w:r>
          </w:p>
        </w:tc>
        <w:tc>
          <w:tcPr>
            <w:tcW w:w="1276" w:type="dxa"/>
          </w:tcPr>
          <w:p w14:paraId="2919D7B9" w14:textId="77777777" w:rsidR="00C503C3" w:rsidRPr="00A17BE1" w:rsidRDefault="00F9388C" w:rsidP="007D2781">
            <w:pPr>
              <w:jc w:val="center"/>
            </w:pPr>
            <w:r>
              <w:t>96,9</w:t>
            </w:r>
          </w:p>
        </w:tc>
        <w:tc>
          <w:tcPr>
            <w:tcW w:w="1276" w:type="dxa"/>
            <w:vAlign w:val="center"/>
          </w:tcPr>
          <w:p w14:paraId="5F759984" w14:textId="77777777" w:rsidR="00C503C3" w:rsidRDefault="00B97EFD" w:rsidP="00274406">
            <w:pPr>
              <w:jc w:val="center"/>
            </w:pPr>
            <w:r>
              <w:t>140,6</w:t>
            </w:r>
          </w:p>
        </w:tc>
        <w:tc>
          <w:tcPr>
            <w:tcW w:w="1276" w:type="dxa"/>
            <w:vAlign w:val="center"/>
          </w:tcPr>
          <w:p w14:paraId="3D8F3778" w14:textId="77777777" w:rsidR="00C503C3" w:rsidRDefault="00927CF1" w:rsidP="000F7441">
            <w:pPr>
              <w:jc w:val="center"/>
            </w:pPr>
            <w:r>
              <w:t>156,7</w:t>
            </w:r>
          </w:p>
        </w:tc>
        <w:tc>
          <w:tcPr>
            <w:tcW w:w="2127" w:type="dxa"/>
          </w:tcPr>
          <w:p w14:paraId="3A4FBA41" w14:textId="77777777" w:rsidR="00C503C3" w:rsidRPr="00EB7470" w:rsidRDefault="00C503C3" w:rsidP="007D2781">
            <w:pPr>
              <w:rPr>
                <w:sz w:val="22"/>
                <w:szCs w:val="22"/>
              </w:rPr>
            </w:pPr>
            <w:r w:rsidRPr="00EB7470">
              <w:rPr>
                <w:sz w:val="22"/>
                <w:szCs w:val="22"/>
              </w:rPr>
              <w:t>Darbo užmokesčiui</w:t>
            </w:r>
          </w:p>
        </w:tc>
      </w:tr>
      <w:tr w:rsidR="00C503C3" w:rsidRPr="00A17BE1" w14:paraId="2E47CE14" w14:textId="77777777" w:rsidTr="0087260C">
        <w:tc>
          <w:tcPr>
            <w:tcW w:w="2694" w:type="dxa"/>
            <w:vMerge/>
          </w:tcPr>
          <w:p w14:paraId="37C7B764" w14:textId="77777777" w:rsidR="00C503C3" w:rsidRPr="00A17BE1" w:rsidRDefault="00C503C3" w:rsidP="007D2781"/>
        </w:tc>
        <w:tc>
          <w:tcPr>
            <w:tcW w:w="1275" w:type="dxa"/>
            <w:vAlign w:val="center"/>
          </w:tcPr>
          <w:p w14:paraId="03D349C1" w14:textId="77777777" w:rsidR="00C503C3" w:rsidRPr="00A17BE1" w:rsidRDefault="00C503C3" w:rsidP="00871F57">
            <w:pPr>
              <w:jc w:val="center"/>
            </w:pPr>
            <w:r w:rsidRPr="00A17BE1">
              <w:t>5</w:t>
            </w:r>
            <w:r w:rsidR="00284A21">
              <w:t>9,6</w:t>
            </w:r>
          </w:p>
        </w:tc>
        <w:tc>
          <w:tcPr>
            <w:tcW w:w="1276" w:type="dxa"/>
            <w:vAlign w:val="center"/>
          </w:tcPr>
          <w:p w14:paraId="5BC11D18" w14:textId="77777777" w:rsidR="00C503C3" w:rsidRPr="001359B6" w:rsidRDefault="00F9388C" w:rsidP="00871F57">
            <w:pPr>
              <w:jc w:val="center"/>
            </w:pPr>
            <w:r>
              <w:t>62,4</w:t>
            </w:r>
          </w:p>
        </w:tc>
        <w:tc>
          <w:tcPr>
            <w:tcW w:w="1276" w:type="dxa"/>
            <w:vAlign w:val="center"/>
          </w:tcPr>
          <w:p w14:paraId="1A861376" w14:textId="77777777" w:rsidR="00C503C3" w:rsidRPr="001359B6" w:rsidRDefault="00B97EFD" w:rsidP="00274406">
            <w:pPr>
              <w:jc w:val="center"/>
            </w:pPr>
            <w:r>
              <w:t>39,5</w:t>
            </w:r>
          </w:p>
        </w:tc>
        <w:tc>
          <w:tcPr>
            <w:tcW w:w="1276" w:type="dxa"/>
            <w:vAlign w:val="center"/>
          </w:tcPr>
          <w:p w14:paraId="24A5655E" w14:textId="77777777" w:rsidR="00C503C3" w:rsidRPr="001359B6" w:rsidRDefault="00184252" w:rsidP="000F7441">
            <w:pPr>
              <w:jc w:val="center"/>
            </w:pPr>
            <w:r>
              <w:t>37,1</w:t>
            </w:r>
          </w:p>
        </w:tc>
        <w:tc>
          <w:tcPr>
            <w:tcW w:w="2127" w:type="dxa"/>
          </w:tcPr>
          <w:p w14:paraId="782E9645" w14:textId="100FABBA" w:rsidR="00C503C3" w:rsidRPr="00EB7470" w:rsidRDefault="00C503C3" w:rsidP="007D2781">
            <w:pPr>
              <w:rPr>
                <w:sz w:val="22"/>
                <w:szCs w:val="22"/>
              </w:rPr>
            </w:pPr>
            <w:r w:rsidRPr="00EB7470">
              <w:rPr>
                <w:sz w:val="22"/>
                <w:szCs w:val="22"/>
              </w:rPr>
              <w:t xml:space="preserve">Įstaigos išlaikymui ir </w:t>
            </w:r>
            <w:r w:rsidR="002338A2">
              <w:rPr>
                <w:sz w:val="22"/>
                <w:szCs w:val="22"/>
              </w:rPr>
              <w:t>s</w:t>
            </w:r>
            <w:r w:rsidRPr="00EB7470">
              <w:rPr>
                <w:sz w:val="22"/>
                <w:szCs w:val="22"/>
              </w:rPr>
              <w:t>ocialiniam draudimui</w:t>
            </w:r>
          </w:p>
        </w:tc>
      </w:tr>
      <w:tr w:rsidR="00C503C3" w:rsidRPr="00A17BE1" w14:paraId="5558DE9A" w14:textId="77777777" w:rsidTr="0087260C">
        <w:tc>
          <w:tcPr>
            <w:tcW w:w="2694" w:type="dxa"/>
            <w:vMerge/>
          </w:tcPr>
          <w:p w14:paraId="13B9963B" w14:textId="77777777" w:rsidR="00C503C3" w:rsidRPr="00A17BE1" w:rsidRDefault="00C503C3" w:rsidP="007B3BE8"/>
        </w:tc>
        <w:tc>
          <w:tcPr>
            <w:tcW w:w="1275" w:type="dxa"/>
            <w:vAlign w:val="center"/>
          </w:tcPr>
          <w:p w14:paraId="51C51B6A" w14:textId="77777777" w:rsidR="00C503C3" w:rsidRPr="00A17BE1" w:rsidRDefault="00284A21" w:rsidP="00871F5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11B9A460" w14:textId="77777777" w:rsidR="00C503C3" w:rsidRPr="00A17BE1" w:rsidRDefault="00F9388C" w:rsidP="00871F57">
            <w:pPr>
              <w:jc w:val="center"/>
            </w:pPr>
            <w:r>
              <w:t>3,0</w:t>
            </w:r>
          </w:p>
        </w:tc>
        <w:tc>
          <w:tcPr>
            <w:tcW w:w="1276" w:type="dxa"/>
            <w:vAlign w:val="center"/>
          </w:tcPr>
          <w:p w14:paraId="19E3BBD0" w14:textId="77777777" w:rsidR="00C503C3" w:rsidRPr="00A17BE1" w:rsidRDefault="00B97EFD" w:rsidP="00274406">
            <w:pPr>
              <w:jc w:val="center"/>
            </w:pPr>
            <w:r>
              <w:t>1,1</w:t>
            </w:r>
          </w:p>
        </w:tc>
        <w:tc>
          <w:tcPr>
            <w:tcW w:w="1276" w:type="dxa"/>
            <w:vAlign w:val="center"/>
          </w:tcPr>
          <w:p w14:paraId="50A8D23C" w14:textId="77777777" w:rsidR="00C503C3" w:rsidRPr="00A17BE1" w:rsidRDefault="00F440BE" w:rsidP="000F7441">
            <w:pPr>
              <w:jc w:val="center"/>
            </w:pPr>
            <w:r>
              <w:t>2,0</w:t>
            </w:r>
          </w:p>
        </w:tc>
        <w:tc>
          <w:tcPr>
            <w:tcW w:w="2127" w:type="dxa"/>
          </w:tcPr>
          <w:p w14:paraId="7796200F" w14:textId="77777777" w:rsidR="00C503C3" w:rsidRPr="00EB7470" w:rsidRDefault="00C503C3" w:rsidP="007B3BE8">
            <w:pPr>
              <w:rPr>
                <w:sz w:val="22"/>
                <w:szCs w:val="22"/>
              </w:rPr>
            </w:pPr>
            <w:r w:rsidRPr="00EB7470">
              <w:rPr>
                <w:sz w:val="22"/>
                <w:szCs w:val="22"/>
              </w:rPr>
              <w:t>Ilgalaikio turto įsigijimui</w:t>
            </w:r>
          </w:p>
        </w:tc>
      </w:tr>
      <w:tr w:rsidR="00C503C3" w:rsidRPr="00A17BE1" w14:paraId="39F85A56" w14:textId="77777777" w:rsidTr="0087260C">
        <w:trPr>
          <w:trHeight w:val="299"/>
        </w:trPr>
        <w:tc>
          <w:tcPr>
            <w:tcW w:w="2694" w:type="dxa"/>
            <w:vMerge/>
          </w:tcPr>
          <w:p w14:paraId="4D609D3A" w14:textId="77777777" w:rsidR="00C503C3" w:rsidRPr="00A17BE1" w:rsidRDefault="00C503C3" w:rsidP="007B3BE8"/>
        </w:tc>
        <w:tc>
          <w:tcPr>
            <w:tcW w:w="1275" w:type="dxa"/>
            <w:vAlign w:val="center"/>
          </w:tcPr>
          <w:p w14:paraId="0E7C8766" w14:textId="77777777" w:rsidR="00C503C3" w:rsidRPr="00A17BE1" w:rsidRDefault="00284A21" w:rsidP="00871F57">
            <w:pPr>
              <w:jc w:val="center"/>
            </w:pPr>
            <w:r>
              <w:t>40,9</w:t>
            </w:r>
          </w:p>
        </w:tc>
        <w:tc>
          <w:tcPr>
            <w:tcW w:w="1276" w:type="dxa"/>
            <w:vAlign w:val="center"/>
          </w:tcPr>
          <w:p w14:paraId="5A6318EA" w14:textId="77777777" w:rsidR="00C503C3" w:rsidRPr="00A17BE1" w:rsidRDefault="00F9388C" w:rsidP="00871F57">
            <w:pPr>
              <w:jc w:val="center"/>
            </w:pPr>
            <w:r>
              <w:t>55,3</w:t>
            </w:r>
          </w:p>
        </w:tc>
        <w:tc>
          <w:tcPr>
            <w:tcW w:w="1276" w:type="dxa"/>
            <w:vAlign w:val="center"/>
          </w:tcPr>
          <w:p w14:paraId="26BFA014" w14:textId="77777777" w:rsidR="00C503C3" w:rsidRDefault="00B97EFD" w:rsidP="00274406">
            <w:pPr>
              <w:jc w:val="center"/>
            </w:pPr>
            <w:r>
              <w:t>47,5</w:t>
            </w:r>
          </w:p>
        </w:tc>
        <w:tc>
          <w:tcPr>
            <w:tcW w:w="1276" w:type="dxa"/>
            <w:vAlign w:val="center"/>
          </w:tcPr>
          <w:p w14:paraId="206CD54B" w14:textId="77777777" w:rsidR="00C503C3" w:rsidRDefault="00F440BE" w:rsidP="000F7441">
            <w:pPr>
              <w:jc w:val="center"/>
            </w:pPr>
            <w:r>
              <w:t>30,0</w:t>
            </w:r>
          </w:p>
        </w:tc>
        <w:tc>
          <w:tcPr>
            <w:tcW w:w="2127" w:type="dxa"/>
          </w:tcPr>
          <w:p w14:paraId="0A3F504D" w14:textId="77777777" w:rsidR="00C503C3" w:rsidRPr="00EB7470" w:rsidRDefault="00C503C3" w:rsidP="007B3BE8">
            <w:pPr>
              <w:rPr>
                <w:sz w:val="22"/>
                <w:szCs w:val="22"/>
              </w:rPr>
            </w:pPr>
            <w:r w:rsidRPr="00EB7470">
              <w:rPr>
                <w:sz w:val="22"/>
                <w:szCs w:val="22"/>
              </w:rPr>
              <w:t>Kultūros ir meno renginių organizavimui</w:t>
            </w:r>
          </w:p>
        </w:tc>
      </w:tr>
      <w:tr w:rsidR="00C503C3" w:rsidRPr="00A17BE1" w14:paraId="4E42F35B" w14:textId="77777777" w:rsidTr="0087260C">
        <w:trPr>
          <w:trHeight w:val="299"/>
        </w:trPr>
        <w:tc>
          <w:tcPr>
            <w:tcW w:w="2694" w:type="dxa"/>
            <w:vMerge w:val="restart"/>
          </w:tcPr>
          <w:p w14:paraId="07AE7035" w14:textId="77777777" w:rsidR="00C503C3" w:rsidRPr="00A17BE1" w:rsidRDefault="00C503C3" w:rsidP="007B3BE8">
            <w:r>
              <w:t>Savivaldybės administracijos projektai</w:t>
            </w:r>
          </w:p>
        </w:tc>
        <w:tc>
          <w:tcPr>
            <w:tcW w:w="1275" w:type="dxa"/>
            <w:vAlign w:val="center"/>
          </w:tcPr>
          <w:p w14:paraId="4A13685C" w14:textId="77777777" w:rsidR="00C503C3" w:rsidRPr="00A17BE1" w:rsidRDefault="00284A21" w:rsidP="00871F57">
            <w:pPr>
              <w:jc w:val="center"/>
            </w:pPr>
            <w:r>
              <w:t>1,6</w:t>
            </w:r>
          </w:p>
        </w:tc>
        <w:tc>
          <w:tcPr>
            <w:tcW w:w="1276" w:type="dxa"/>
            <w:vAlign w:val="center"/>
          </w:tcPr>
          <w:p w14:paraId="659779B8" w14:textId="77777777" w:rsidR="00C503C3" w:rsidRDefault="00F9388C" w:rsidP="00871F5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7F25820C" w14:textId="77777777" w:rsidR="00C503C3" w:rsidRDefault="00C503C3" w:rsidP="00274406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5CFB1060" w14:textId="77777777" w:rsidR="00C503C3" w:rsidRDefault="00541546" w:rsidP="000F7441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26B02332" w14:textId="77777777" w:rsidR="00C503C3" w:rsidRPr="00EB7470" w:rsidRDefault="00C503C3" w:rsidP="007B3BE8">
            <w:pPr>
              <w:rPr>
                <w:sz w:val="22"/>
                <w:szCs w:val="22"/>
              </w:rPr>
            </w:pPr>
            <w:r w:rsidRPr="00EB7470">
              <w:rPr>
                <w:sz w:val="22"/>
                <w:szCs w:val="22"/>
              </w:rPr>
              <w:t>Tautinių ir istorinių-archeologinių kostiumų siuvimui</w:t>
            </w:r>
          </w:p>
        </w:tc>
      </w:tr>
      <w:tr w:rsidR="00C503C3" w:rsidRPr="00A17BE1" w14:paraId="6EFC56BB" w14:textId="77777777" w:rsidTr="0087260C">
        <w:trPr>
          <w:trHeight w:val="533"/>
        </w:trPr>
        <w:tc>
          <w:tcPr>
            <w:tcW w:w="2694" w:type="dxa"/>
            <w:vMerge/>
          </w:tcPr>
          <w:p w14:paraId="797EBAC1" w14:textId="77777777" w:rsidR="00C503C3" w:rsidRPr="00A17BE1" w:rsidRDefault="00C503C3" w:rsidP="007B3BE8"/>
        </w:tc>
        <w:tc>
          <w:tcPr>
            <w:tcW w:w="1275" w:type="dxa"/>
            <w:vAlign w:val="center"/>
          </w:tcPr>
          <w:p w14:paraId="0DCF7002" w14:textId="77777777" w:rsidR="00C503C3" w:rsidRPr="00A17BE1" w:rsidRDefault="00284A21" w:rsidP="00871F57">
            <w:pPr>
              <w:jc w:val="center"/>
            </w:pPr>
            <w:r>
              <w:t>4,2</w:t>
            </w:r>
          </w:p>
        </w:tc>
        <w:tc>
          <w:tcPr>
            <w:tcW w:w="1276" w:type="dxa"/>
            <w:vAlign w:val="center"/>
          </w:tcPr>
          <w:p w14:paraId="6A08B3CC" w14:textId="77777777" w:rsidR="00C503C3" w:rsidRPr="00A17BE1" w:rsidRDefault="00F9388C" w:rsidP="00871F57">
            <w:pPr>
              <w:jc w:val="center"/>
            </w:pPr>
            <w:r>
              <w:t>1,0</w:t>
            </w:r>
          </w:p>
        </w:tc>
        <w:tc>
          <w:tcPr>
            <w:tcW w:w="1276" w:type="dxa"/>
            <w:vAlign w:val="center"/>
          </w:tcPr>
          <w:p w14:paraId="6AE6865A" w14:textId="77777777" w:rsidR="00C503C3" w:rsidRDefault="00B97EFD" w:rsidP="00274406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28BD2475" w14:textId="77777777" w:rsidR="00C503C3" w:rsidRDefault="00541546" w:rsidP="000F7441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7B2C566C" w14:textId="77777777" w:rsidR="00C503C3" w:rsidRPr="00EB7470" w:rsidRDefault="00C503C3" w:rsidP="007B3BE8">
            <w:pPr>
              <w:rPr>
                <w:sz w:val="22"/>
                <w:szCs w:val="22"/>
              </w:rPr>
            </w:pPr>
            <w:r w:rsidRPr="00EB7470">
              <w:rPr>
                <w:sz w:val="22"/>
                <w:szCs w:val="22"/>
              </w:rPr>
              <w:t>Projektams, knygų leidybai</w:t>
            </w:r>
          </w:p>
        </w:tc>
      </w:tr>
      <w:tr w:rsidR="00C503C3" w:rsidRPr="00A17BE1" w14:paraId="73434ECC" w14:textId="77777777" w:rsidTr="0087260C">
        <w:tc>
          <w:tcPr>
            <w:tcW w:w="2694" w:type="dxa"/>
            <w:vMerge w:val="restart"/>
          </w:tcPr>
          <w:p w14:paraId="61983A8B" w14:textId="77777777" w:rsidR="00C503C3" w:rsidRPr="00A17BE1" w:rsidRDefault="00C503C3" w:rsidP="007B3BE8">
            <w:r w:rsidRPr="00A17BE1">
              <w:t>Valstybės biudžeto lėšos</w:t>
            </w:r>
            <w:r>
              <w:t xml:space="preserve"> (</w:t>
            </w:r>
            <w:r w:rsidRPr="00390A81">
              <w:t>kultūros darbuotojų darbo užmokesčio didinimui</w:t>
            </w:r>
            <w:r w:rsidR="00927CF1">
              <w:t xml:space="preserve"> ir kitoms išlaidoms</w:t>
            </w:r>
            <w:r>
              <w:t>)</w:t>
            </w:r>
          </w:p>
        </w:tc>
        <w:tc>
          <w:tcPr>
            <w:tcW w:w="1275" w:type="dxa"/>
            <w:vAlign w:val="center"/>
          </w:tcPr>
          <w:p w14:paraId="280AD504" w14:textId="77777777" w:rsidR="00C503C3" w:rsidRPr="00A17BE1" w:rsidRDefault="00284A21" w:rsidP="00871F5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429AD138" w14:textId="77777777" w:rsidR="00C503C3" w:rsidRPr="00A17BE1" w:rsidRDefault="00C503C3" w:rsidP="00871F5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48593838" w14:textId="77777777" w:rsidR="00C503C3" w:rsidRDefault="00C503C3" w:rsidP="00274406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21CEA53F" w14:textId="77777777" w:rsidR="00C503C3" w:rsidRDefault="00541546" w:rsidP="000F7441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0FA620C1" w14:textId="77777777" w:rsidR="00C503C3" w:rsidRPr="00EB7470" w:rsidRDefault="00C503C3" w:rsidP="007B3BE8">
            <w:pPr>
              <w:rPr>
                <w:sz w:val="22"/>
                <w:szCs w:val="22"/>
              </w:rPr>
            </w:pPr>
            <w:r w:rsidRPr="00EB7470">
              <w:rPr>
                <w:sz w:val="22"/>
                <w:szCs w:val="22"/>
              </w:rPr>
              <w:t>Darbo užmokesčiui</w:t>
            </w:r>
          </w:p>
        </w:tc>
      </w:tr>
      <w:tr w:rsidR="00C503C3" w:rsidRPr="00A17BE1" w14:paraId="5E093775" w14:textId="77777777" w:rsidTr="0087260C">
        <w:tc>
          <w:tcPr>
            <w:tcW w:w="2694" w:type="dxa"/>
            <w:vMerge/>
          </w:tcPr>
          <w:p w14:paraId="7832DB45" w14:textId="77777777" w:rsidR="00C503C3" w:rsidRPr="00A17BE1" w:rsidRDefault="00C503C3" w:rsidP="007B3BE8"/>
        </w:tc>
        <w:tc>
          <w:tcPr>
            <w:tcW w:w="1275" w:type="dxa"/>
            <w:vAlign w:val="center"/>
          </w:tcPr>
          <w:p w14:paraId="5212ED50" w14:textId="77777777" w:rsidR="00C503C3" w:rsidRPr="00A17BE1" w:rsidRDefault="00284A21" w:rsidP="00871F5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3B26EAA8" w14:textId="77777777" w:rsidR="00C503C3" w:rsidRPr="00A17BE1" w:rsidRDefault="00C503C3" w:rsidP="00871F5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5F050BA4" w14:textId="77777777" w:rsidR="00C503C3" w:rsidRPr="00A17BE1" w:rsidRDefault="00C503C3" w:rsidP="00274406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5F9C7FE6" w14:textId="77777777" w:rsidR="00C503C3" w:rsidRPr="00A17BE1" w:rsidRDefault="00927CF1" w:rsidP="000F7441">
            <w:pPr>
              <w:jc w:val="center"/>
            </w:pPr>
            <w:r>
              <w:t>0,4</w:t>
            </w:r>
          </w:p>
        </w:tc>
        <w:tc>
          <w:tcPr>
            <w:tcW w:w="2127" w:type="dxa"/>
          </w:tcPr>
          <w:p w14:paraId="11E374EC" w14:textId="77777777" w:rsidR="00C503C3" w:rsidRPr="00927CF1" w:rsidRDefault="00914C82" w:rsidP="00914C82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927CF1" w:rsidRPr="007D2781">
              <w:rPr>
                <w:sz w:val="22"/>
                <w:szCs w:val="22"/>
              </w:rPr>
              <w:t xml:space="preserve">šlaidoms, </w:t>
            </w:r>
            <w:r>
              <w:rPr>
                <w:sz w:val="22"/>
                <w:szCs w:val="22"/>
              </w:rPr>
              <w:t xml:space="preserve">susijusioms su </w:t>
            </w:r>
            <w:r w:rsidR="00927CF1" w:rsidRPr="007D2781">
              <w:rPr>
                <w:sz w:val="22"/>
                <w:szCs w:val="22"/>
              </w:rPr>
              <w:t>koronaviruso plitimo grėsmės likvidavimu ir jos padarinių šalinimu</w:t>
            </w:r>
          </w:p>
        </w:tc>
      </w:tr>
      <w:tr w:rsidR="00C503C3" w:rsidRPr="00A17BE1" w14:paraId="74F37887" w14:textId="77777777" w:rsidTr="0087260C">
        <w:tc>
          <w:tcPr>
            <w:tcW w:w="2694" w:type="dxa"/>
          </w:tcPr>
          <w:p w14:paraId="22A16669" w14:textId="77777777" w:rsidR="00C503C3" w:rsidRPr="00A17BE1" w:rsidRDefault="00C503C3" w:rsidP="007B3BE8">
            <w:r w:rsidRPr="00390A81">
              <w:t>Lietuvos kultūros taryba</w:t>
            </w:r>
          </w:p>
        </w:tc>
        <w:tc>
          <w:tcPr>
            <w:tcW w:w="1275" w:type="dxa"/>
            <w:vAlign w:val="center"/>
          </w:tcPr>
          <w:p w14:paraId="24E29AFE" w14:textId="77777777" w:rsidR="00C503C3" w:rsidRPr="00A17BE1" w:rsidRDefault="00284A21" w:rsidP="00871F57">
            <w:pPr>
              <w:jc w:val="center"/>
            </w:pPr>
            <w:r>
              <w:t>2</w:t>
            </w:r>
            <w:r w:rsidR="00C503C3" w:rsidRPr="00A17BE1">
              <w:t>,0</w:t>
            </w:r>
          </w:p>
        </w:tc>
        <w:tc>
          <w:tcPr>
            <w:tcW w:w="1276" w:type="dxa"/>
            <w:vAlign w:val="center"/>
          </w:tcPr>
          <w:p w14:paraId="2460DBBD" w14:textId="77777777" w:rsidR="00C503C3" w:rsidRPr="00A17BE1" w:rsidRDefault="00F9388C" w:rsidP="00871F57">
            <w:pPr>
              <w:jc w:val="center"/>
            </w:pPr>
            <w:r>
              <w:t>7,3</w:t>
            </w:r>
          </w:p>
        </w:tc>
        <w:tc>
          <w:tcPr>
            <w:tcW w:w="1276" w:type="dxa"/>
            <w:vAlign w:val="center"/>
          </w:tcPr>
          <w:p w14:paraId="32DAB6DB" w14:textId="77777777" w:rsidR="00C503C3" w:rsidRDefault="00B97EFD" w:rsidP="00274406">
            <w:pPr>
              <w:jc w:val="center"/>
            </w:pPr>
            <w:r>
              <w:t>11,3</w:t>
            </w:r>
          </w:p>
        </w:tc>
        <w:tc>
          <w:tcPr>
            <w:tcW w:w="1276" w:type="dxa"/>
            <w:vAlign w:val="center"/>
          </w:tcPr>
          <w:p w14:paraId="0BA5B732" w14:textId="77777777" w:rsidR="00C503C3" w:rsidRDefault="00541546" w:rsidP="000F7441">
            <w:pPr>
              <w:jc w:val="center"/>
            </w:pPr>
            <w:r>
              <w:t>1</w:t>
            </w:r>
            <w:r w:rsidR="00410242">
              <w:t>9</w:t>
            </w:r>
            <w:r>
              <w:t>,</w:t>
            </w:r>
            <w:r w:rsidR="00410242">
              <w:t>1</w:t>
            </w:r>
          </w:p>
        </w:tc>
        <w:tc>
          <w:tcPr>
            <w:tcW w:w="2127" w:type="dxa"/>
          </w:tcPr>
          <w:p w14:paraId="6F719F26" w14:textId="33744494" w:rsidR="00C503C3" w:rsidRPr="00EB7470" w:rsidRDefault="000F7441" w:rsidP="007B3BE8">
            <w:pPr>
              <w:rPr>
                <w:sz w:val="20"/>
                <w:szCs w:val="20"/>
              </w:rPr>
            </w:pPr>
            <w:r w:rsidRPr="00EB7470">
              <w:rPr>
                <w:sz w:val="20"/>
                <w:szCs w:val="20"/>
              </w:rPr>
              <w:t>Folkloro šventė „Pūsk, vėjuži!“</w:t>
            </w:r>
            <w:r w:rsidR="00876839" w:rsidRPr="00EB7470">
              <w:rPr>
                <w:sz w:val="20"/>
                <w:szCs w:val="20"/>
              </w:rPr>
              <w:t xml:space="preserve"> „Kails!“: Prūsų (Mažosios) Lietuvos kultūra ir istorija; </w:t>
            </w:r>
            <w:r w:rsidR="00876839" w:rsidRPr="00EB7470">
              <w:rPr>
                <w:rFonts w:eastAsia="Calibri"/>
                <w:sz w:val="20"/>
                <w:szCs w:val="20"/>
              </w:rPr>
              <w:t>Pats sau gidas Liudviko Rėzos kultūros centro istorinėje ekspozicijoje;</w:t>
            </w:r>
            <w:r w:rsidR="00F64E4C" w:rsidRPr="00EB7470">
              <w:rPr>
                <w:rFonts w:eastAsia="Calibri"/>
                <w:sz w:val="20"/>
                <w:szCs w:val="20"/>
              </w:rPr>
              <w:t xml:space="preserve"> fesivalis</w:t>
            </w:r>
            <w:r w:rsidR="002338A2">
              <w:rPr>
                <w:rFonts w:eastAsia="Calibri"/>
                <w:sz w:val="20"/>
                <w:szCs w:val="20"/>
              </w:rPr>
              <w:t>-</w:t>
            </w:r>
            <w:r w:rsidR="00F64E4C" w:rsidRPr="00EB7470">
              <w:rPr>
                <w:rFonts w:eastAsia="Calibri"/>
                <w:sz w:val="20"/>
                <w:szCs w:val="20"/>
              </w:rPr>
              <w:t>konkursas „Baltic Voice 2020“</w:t>
            </w:r>
          </w:p>
        </w:tc>
      </w:tr>
      <w:tr w:rsidR="00AA78DE" w:rsidRPr="00A17BE1" w14:paraId="730D8793" w14:textId="77777777" w:rsidTr="0087260C">
        <w:tc>
          <w:tcPr>
            <w:tcW w:w="2694" w:type="dxa"/>
          </w:tcPr>
          <w:p w14:paraId="3B63B978" w14:textId="77777777" w:rsidR="00AA78DE" w:rsidRPr="00A17BE1" w:rsidRDefault="00AA78DE" w:rsidP="007B3BE8">
            <w:r>
              <w:t>Europos Sąjungos lėšos</w:t>
            </w:r>
          </w:p>
        </w:tc>
        <w:tc>
          <w:tcPr>
            <w:tcW w:w="1275" w:type="dxa"/>
            <w:vAlign w:val="center"/>
          </w:tcPr>
          <w:p w14:paraId="7BCF161E" w14:textId="77777777" w:rsidR="00AA78DE" w:rsidRPr="00A17BE1" w:rsidRDefault="00AA78DE" w:rsidP="00871F5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29081D2" w14:textId="77777777" w:rsidR="00AA78DE" w:rsidRPr="00A17BE1" w:rsidRDefault="00AA78DE" w:rsidP="00871F5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CD1381F" w14:textId="77777777" w:rsidR="00AA78DE" w:rsidRDefault="00855778" w:rsidP="00274406">
            <w:pPr>
              <w:jc w:val="center"/>
            </w:pPr>
            <w:r>
              <w:t>11,3</w:t>
            </w:r>
          </w:p>
        </w:tc>
        <w:tc>
          <w:tcPr>
            <w:tcW w:w="1276" w:type="dxa"/>
            <w:vAlign w:val="center"/>
          </w:tcPr>
          <w:p w14:paraId="5162C724" w14:textId="77777777" w:rsidR="00AA78DE" w:rsidRDefault="00184252" w:rsidP="000F7441">
            <w:pPr>
              <w:jc w:val="center"/>
            </w:pPr>
            <w:r>
              <w:t>0,6</w:t>
            </w:r>
          </w:p>
        </w:tc>
        <w:tc>
          <w:tcPr>
            <w:tcW w:w="2127" w:type="dxa"/>
          </w:tcPr>
          <w:p w14:paraId="557E8DAA" w14:textId="77777777" w:rsidR="00AA78DE" w:rsidRPr="00EB7470" w:rsidRDefault="00AA78DE" w:rsidP="00AA78DE">
            <w:pPr>
              <w:tabs>
                <w:tab w:val="num" w:pos="3090"/>
              </w:tabs>
              <w:rPr>
                <w:sz w:val="22"/>
                <w:szCs w:val="22"/>
              </w:rPr>
            </w:pPr>
            <w:r w:rsidRPr="00EB7470">
              <w:rPr>
                <w:sz w:val="22"/>
                <w:szCs w:val="22"/>
              </w:rPr>
              <w:fldChar w:fldCharType="begin"/>
            </w:r>
            <w:r w:rsidRPr="00EB7470">
              <w:rPr>
                <w:sz w:val="22"/>
                <w:szCs w:val="22"/>
              </w:rPr>
              <w:instrText xml:space="preserve"> MERGEFIELD Projekto_pavadinimas </w:instrText>
            </w:r>
            <w:r w:rsidRPr="00EB7470">
              <w:rPr>
                <w:sz w:val="22"/>
                <w:szCs w:val="22"/>
              </w:rPr>
              <w:fldChar w:fldCharType="separate"/>
            </w:r>
            <w:r w:rsidRPr="00EB7470">
              <w:rPr>
                <w:sz w:val="22"/>
                <w:szCs w:val="22"/>
              </w:rPr>
              <w:t>Liudviko Rėzos kultūros centro edukacinės ir projektinės veiklos tobulinimas</w:t>
            </w:r>
            <w:r w:rsidRPr="00EB7470">
              <w:rPr>
                <w:sz w:val="22"/>
                <w:szCs w:val="22"/>
              </w:rPr>
              <w:fldChar w:fldCharType="end"/>
            </w:r>
          </w:p>
        </w:tc>
      </w:tr>
      <w:tr w:rsidR="00C503C3" w:rsidRPr="00A17BE1" w14:paraId="693BEE03" w14:textId="77777777" w:rsidTr="0087260C">
        <w:tc>
          <w:tcPr>
            <w:tcW w:w="2694" w:type="dxa"/>
            <w:vMerge w:val="restart"/>
          </w:tcPr>
          <w:p w14:paraId="691703EB" w14:textId="77777777" w:rsidR="00C503C3" w:rsidRPr="00A17BE1" w:rsidRDefault="00C503C3" w:rsidP="007B3BE8">
            <w:r w:rsidRPr="00A17BE1">
              <w:t>Spec. programų (lėšos už mokamas paslaugas ir parduotas prekes) lėšos</w:t>
            </w:r>
          </w:p>
        </w:tc>
        <w:tc>
          <w:tcPr>
            <w:tcW w:w="1275" w:type="dxa"/>
            <w:vAlign w:val="center"/>
          </w:tcPr>
          <w:p w14:paraId="32FE2F68" w14:textId="77777777" w:rsidR="00C503C3" w:rsidRPr="00A17BE1" w:rsidRDefault="00C503C3" w:rsidP="00871F57">
            <w:pPr>
              <w:jc w:val="center"/>
            </w:pPr>
            <w:r w:rsidRPr="00A17BE1">
              <w:t>0</w:t>
            </w:r>
            <w:r w:rsidR="00F31EB8">
              <w:t>8</w:t>
            </w:r>
          </w:p>
        </w:tc>
        <w:tc>
          <w:tcPr>
            <w:tcW w:w="1276" w:type="dxa"/>
            <w:vAlign w:val="center"/>
          </w:tcPr>
          <w:p w14:paraId="5C6D64DF" w14:textId="77777777" w:rsidR="00C503C3" w:rsidRPr="00A17BE1" w:rsidRDefault="00C503C3" w:rsidP="00871F57">
            <w:pPr>
              <w:jc w:val="center"/>
            </w:pPr>
            <w:r w:rsidRPr="00A17BE1">
              <w:t>0,</w:t>
            </w:r>
            <w:r w:rsidR="00F31EB8">
              <w:t>5</w:t>
            </w:r>
          </w:p>
        </w:tc>
        <w:tc>
          <w:tcPr>
            <w:tcW w:w="1276" w:type="dxa"/>
            <w:vAlign w:val="center"/>
          </w:tcPr>
          <w:p w14:paraId="6BC3B2C6" w14:textId="77777777" w:rsidR="00C503C3" w:rsidRDefault="008B5E04" w:rsidP="00274406">
            <w:pPr>
              <w:jc w:val="center"/>
            </w:pPr>
            <w:r>
              <w:t>0,5</w:t>
            </w:r>
          </w:p>
        </w:tc>
        <w:tc>
          <w:tcPr>
            <w:tcW w:w="1276" w:type="dxa"/>
            <w:vAlign w:val="center"/>
          </w:tcPr>
          <w:p w14:paraId="4DAE481F" w14:textId="77777777" w:rsidR="00C503C3" w:rsidRDefault="00541546" w:rsidP="000F7441">
            <w:pPr>
              <w:jc w:val="center"/>
            </w:pPr>
            <w:r>
              <w:t>0,</w:t>
            </w:r>
            <w:r w:rsidR="00F31EB8">
              <w:t>2</w:t>
            </w:r>
          </w:p>
        </w:tc>
        <w:tc>
          <w:tcPr>
            <w:tcW w:w="2127" w:type="dxa"/>
          </w:tcPr>
          <w:p w14:paraId="3211A035" w14:textId="0E77BCBB" w:rsidR="00C503C3" w:rsidRPr="00914C82" w:rsidRDefault="00C503C3" w:rsidP="007B3BE8">
            <w:pPr>
              <w:rPr>
                <w:sz w:val="22"/>
                <w:szCs w:val="22"/>
              </w:rPr>
            </w:pPr>
            <w:r w:rsidRPr="00914C82">
              <w:rPr>
                <w:sz w:val="22"/>
                <w:szCs w:val="22"/>
              </w:rPr>
              <w:t xml:space="preserve">Darbo užmokesčiui ir </w:t>
            </w:r>
            <w:r w:rsidR="002338A2">
              <w:rPr>
                <w:sz w:val="22"/>
                <w:szCs w:val="22"/>
              </w:rPr>
              <w:t>s</w:t>
            </w:r>
            <w:r w:rsidRPr="00914C82">
              <w:rPr>
                <w:sz w:val="22"/>
                <w:szCs w:val="22"/>
              </w:rPr>
              <w:t>ocialiniam draudimui</w:t>
            </w:r>
          </w:p>
        </w:tc>
      </w:tr>
      <w:tr w:rsidR="00C503C3" w:rsidRPr="00A17BE1" w14:paraId="4CCA3660" w14:textId="77777777" w:rsidTr="0087260C">
        <w:tc>
          <w:tcPr>
            <w:tcW w:w="2694" w:type="dxa"/>
            <w:vMerge/>
          </w:tcPr>
          <w:p w14:paraId="3B26E459" w14:textId="77777777" w:rsidR="00C503C3" w:rsidRPr="00A17BE1" w:rsidRDefault="00C503C3" w:rsidP="007B3BE8"/>
        </w:tc>
        <w:tc>
          <w:tcPr>
            <w:tcW w:w="1275" w:type="dxa"/>
            <w:vAlign w:val="center"/>
          </w:tcPr>
          <w:p w14:paraId="5E12FC74" w14:textId="77777777" w:rsidR="00C503C3" w:rsidRPr="00A17BE1" w:rsidRDefault="00B97EFD" w:rsidP="00871F57">
            <w:pPr>
              <w:jc w:val="center"/>
            </w:pPr>
            <w:r>
              <w:t>0,2</w:t>
            </w:r>
          </w:p>
        </w:tc>
        <w:tc>
          <w:tcPr>
            <w:tcW w:w="1276" w:type="dxa"/>
            <w:vAlign w:val="center"/>
          </w:tcPr>
          <w:p w14:paraId="196BCAFB" w14:textId="77777777" w:rsidR="00C503C3" w:rsidRPr="00A17BE1" w:rsidRDefault="00C503C3" w:rsidP="00871F57">
            <w:pPr>
              <w:jc w:val="center"/>
            </w:pPr>
            <w:r w:rsidRPr="00A17BE1">
              <w:t>0,</w:t>
            </w:r>
            <w:r>
              <w:t>2</w:t>
            </w:r>
          </w:p>
        </w:tc>
        <w:tc>
          <w:tcPr>
            <w:tcW w:w="1276" w:type="dxa"/>
            <w:vAlign w:val="center"/>
          </w:tcPr>
          <w:p w14:paraId="5756B4AE" w14:textId="77777777" w:rsidR="00C503C3" w:rsidRDefault="00C503C3" w:rsidP="00274406">
            <w:pPr>
              <w:jc w:val="center"/>
            </w:pPr>
            <w:r>
              <w:t>0,2</w:t>
            </w:r>
          </w:p>
        </w:tc>
        <w:tc>
          <w:tcPr>
            <w:tcW w:w="1276" w:type="dxa"/>
            <w:vAlign w:val="center"/>
          </w:tcPr>
          <w:p w14:paraId="345E6B93" w14:textId="77777777" w:rsidR="00C503C3" w:rsidRDefault="00541546" w:rsidP="000F7441">
            <w:pPr>
              <w:jc w:val="center"/>
            </w:pPr>
            <w:r>
              <w:t>0,</w:t>
            </w:r>
            <w:r w:rsidR="00F31EB8">
              <w:t>1</w:t>
            </w:r>
          </w:p>
        </w:tc>
        <w:tc>
          <w:tcPr>
            <w:tcW w:w="2127" w:type="dxa"/>
          </w:tcPr>
          <w:p w14:paraId="2551C39D" w14:textId="77777777" w:rsidR="00C503C3" w:rsidRPr="00914C82" w:rsidRDefault="00C503C3" w:rsidP="007B3BE8">
            <w:pPr>
              <w:rPr>
                <w:sz w:val="22"/>
                <w:szCs w:val="22"/>
              </w:rPr>
            </w:pPr>
            <w:r w:rsidRPr="00914C82">
              <w:rPr>
                <w:sz w:val="22"/>
                <w:szCs w:val="22"/>
              </w:rPr>
              <w:t>Instrumentų taisymui, derinimui</w:t>
            </w:r>
          </w:p>
        </w:tc>
      </w:tr>
      <w:tr w:rsidR="00C503C3" w:rsidRPr="00A17BE1" w14:paraId="008B6053" w14:textId="77777777" w:rsidTr="0087260C">
        <w:trPr>
          <w:trHeight w:val="224"/>
        </w:trPr>
        <w:tc>
          <w:tcPr>
            <w:tcW w:w="2694" w:type="dxa"/>
            <w:vMerge/>
          </w:tcPr>
          <w:p w14:paraId="0494E0A3" w14:textId="77777777" w:rsidR="00C503C3" w:rsidRPr="00A17BE1" w:rsidRDefault="00C503C3" w:rsidP="007B3BE8"/>
        </w:tc>
        <w:tc>
          <w:tcPr>
            <w:tcW w:w="1275" w:type="dxa"/>
            <w:vAlign w:val="center"/>
          </w:tcPr>
          <w:p w14:paraId="5E7A85EF" w14:textId="77777777" w:rsidR="00C503C3" w:rsidRPr="00A17BE1" w:rsidRDefault="00F31EB8" w:rsidP="00871F57">
            <w:pPr>
              <w:jc w:val="center"/>
            </w:pPr>
            <w:r>
              <w:t>5</w:t>
            </w:r>
            <w:r w:rsidR="00B97EFD">
              <w:t>,9</w:t>
            </w:r>
          </w:p>
        </w:tc>
        <w:tc>
          <w:tcPr>
            <w:tcW w:w="1276" w:type="dxa"/>
            <w:vAlign w:val="center"/>
          </w:tcPr>
          <w:p w14:paraId="1D710EEC" w14:textId="77777777" w:rsidR="00C503C3" w:rsidRPr="00A17BE1" w:rsidRDefault="008B5E04" w:rsidP="00871F57">
            <w:pPr>
              <w:jc w:val="center"/>
            </w:pPr>
            <w:r>
              <w:t>5,9</w:t>
            </w:r>
          </w:p>
        </w:tc>
        <w:tc>
          <w:tcPr>
            <w:tcW w:w="1276" w:type="dxa"/>
            <w:vAlign w:val="center"/>
          </w:tcPr>
          <w:p w14:paraId="15563932" w14:textId="77777777" w:rsidR="00C503C3" w:rsidRPr="005B7615" w:rsidRDefault="00B97EFD" w:rsidP="00274406">
            <w:pPr>
              <w:jc w:val="center"/>
            </w:pPr>
            <w:r>
              <w:t>5,9</w:t>
            </w:r>
          </w:p>
        </w:tc>
        <w:tc>
          <w:tcPr>
            <w:tcW w:w="1276" w:type="dxa"/>
            <w:vAlign w:val="center"/>
          </w:tcPr>
          <w:p w14:paraId="27DCF541" w14:textId="77777777" w:rsidR="00C503C3" w:rsidRPr="005B7615" w:rsidRDefault="00F31EB8" w:rsidP="000F7441">
            <w:pPr>
              <w:jc w:val="center"/>
            </w:pPr>
            <w:r>
              <w:t>7,7</w:t>
            </w:r>
          </w:p>
        </w:tc>
        <w:tc>
          <w:tcPr>
            <w:tcW w:w="2127" w:type="dxa"/>
          </w:tcPr>
          <w:p w14:paraId="62B97A08" w14:textId="77777777" w:rsidR="00C503C3" w:rsidRPr="00914C82" w:rsidRDefault="00C503C3" w:rsidP="007B3BE8">
            <w:pPr>
              <w:rPr>
                <w:sz w:val="22"/>
                <w:szCs w:val="22"/>
              </w:rPr>
            </w:pPr>
            <w:r w:rsidRPr="00914C82">
              <w:rPr>
                <w:sz w:val="22"/>
                <w:szCs w:val="22"/>
              </w:rPr>
              <w:t xml:space="preserve">Pervesti pinigai tiekėjams už parduotas prekes </w:t>
            </w:r>
            <w:r w:rsidR="00541546" w:rsidRPr="00914C82">
              <w:rPr>
                <w:sz w:val="22"/>
                <w:szCs w:val="22"/>
              </w:rPr>
              <w:t>ir paslaugas</w:t>
            </w:r>
          </w:p>
        </w:tc>
      </w:tr>
      <w:tr w:rsidR="00C503C3" w:rsidRPr="00A17BE1" w14:paraId="780F486E" w14:textId="77777777" w:rsidTr="0087260C">
        <w:tc>
          <w:tcPr>
            <w:tcW w:w="2694" w:type="dxa"/>
          </w:tcPr>
          <w:p w14:paraId="7DFAF457" w14:textId="77777777" w:rsidR="00C503C3" w:rsidRPr="00A17BE1" w:rsidRDefault="00C503C3" w:rsidP="007B3BE8">
            <w:r w:rsidRPr="00A17BE1">
              <w:t>Paramos, labdaros lėšos</w:t>
            </w:r>
          </w:p>
        </w:tc>
        <w:tc>
          <w:tcPr>
            <w:tcW w:w="1275" w:type="dxa"/>
          </w:tcPr>
          <w:p w14:paraId="1F7CA38C" w14:textId="77777777" w:rsidR="00C503C3" w:rsidRPr="00A17BE1" w:rsidRDefault="00C503C3" w:rsidP="00871F57">
            <w:pPr>
              <w:jc w:val="center"/>
            </w:pPr>
            <w:r w:rsidRPr="00A17BE1">
              <w:t xml:space="preserve">Gauta </w:t>
            </w:r>
            <w:r w:rsidR="00F31EB8">
              <w:t>5</w:t>
            </w:r>
            <w:r w:rsidR="00B97EFD">
              <w:t>,</w:t>
            </w:r>
            <w:r w:rsidR="00F31EB8">
              <w:t>7</w:t>
            </w:r>
          </w:p>
          <w:p w14:paraId="0B9AED22" w14:textId="77777777" w:rsidR="00C503C3" w:rsidRPr="00A17BE1" w:rsidRDefault="00C503C3" w:rsidP="00871F57">
            <w:pPr>
              <w:jc w:val="center"/>
            </w:pPr>
            <w:r w:rsidRPr="00A17BE1">
              <w:t xml:space="preserve">Panaudota </w:t>
            </w:r>
            <w:r w:rsidR="00F31EB8">
              <w:t>4,9</w:t>
            </w:r>
          </w:p>
        </w:tc>
        <w:tc>
          <w:tcPr>
            <w:tcW w:w="1276" w:type="dxa"/>
          </w:tcPr>
          <w:p w14:paraId="5187D877" w14:textId="77777777" w:rsidR="00C503C3" w:rsidRPr="00A17BE1" w:rsidRDefault="00C503C3" w:rsidP="00871F57">
            <w:pPr>
              <w:jc w:val="center"/>
            </w:pPr>
            <w:r w:rsidRPr="00A17BE1">
              <w:t xml:space="preserve">Gauta </w:t>
            </w:r>
            <w:r w:rsidR="00F31EB8">
              <w:t xml:space="preserve">1,0 </w:t>
            </w:r>
            <w:r w:rsidRPr="00A17BE1">
              <w:t xml:space="preserve">Panaudota </w:t>
            </w:r>
            <w:r w:rsidR="00F31EB8">
              <w:t>0,6</w:t>
            </w:r>
          </w:p>
        </w:tc>
        <w:tc>
          <w:tcPr>
            <w:tcW w:w="1276" w:type="dxa"/>
            <w:vAlign w:val="center"/>
          </w:tcPr>
          <w:p w14:paraId="63882006" w14:textId="77777777" w:rsidR="00C503C3" w:rsidRPr="007243A8" w:rsidRDefault="00C503C3" w:rsidP="00274406">
            <w:pPr>
              <w:jc w:val="center"/>
            </w:pPr>
            <w:r w:rsidRPr="00A17BE1">
              <w:t xml:space="preserve">Gauta </w:t>
            </w:r>
            <w:r w:rsidR="00F31EB8">
              <w:t>0,1</w:t>
            </w:r>
            <w:r w:rsidRPr="00A17BE1">
              <w:t xml:space="preserve"> Panaudota </w:t>
            </w:r>
            <w:r w:rsidR="00B97EFD">
              <w:t>0</w:t>
            </w:r>
          </w:p>
        </w:tc>
        <w:tc>
          <w:tcPr>
            <w:tcW w:w="1276" w:type="dxa"/>
          </w:tcPr>
          <w:p w14:paraId="78417B5D" w14:textId="77777777" w:rsidR="00C503C3" w:rsidRDefault="00541546" w:rsidP="007B3BE8">
            <w:r w:rsidRPr="00A17BE1">
              <w:t>Gauta</w:t>
            </w:r>
            <w:r>
              <w:t xml:space="preserve"> </w:t>
            </w:r>
            <w:r w:rsidR="00B97EFD">
              <w:t>0,1</w:t>
            </w:r>
          </w:p>
          <w:p w14:paraId="0326A24A" w14:textId="77777777" w:rsidR="000F7441" w:rsidRDefault="000F7441" w:rsidP="007B3BE8">
            <w:r>
              <w:t>Panaudota</w:t>
            </w:r>
          </w:p>
          <w:p w14:paraId="7C2C9BF7" w14:textId="77777777" w:rsidR="000F7441" w:rsidRDefault="00B97EFD" w:rsidP="000F7441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56683D94" w14:textId="77777777" w:rsidR="00C503C3" w:rsidRPr="00A17BE1" w:rsidRDefault="00C503C3" w:rsidP="007B3BE8">
            <w:pPr>
              <w:rPr>
                <w:highlight w:val="yellow"/>
              </w:rPr>
            </w:pPr>
          </w:p>
        </w:tc>
      </w:tr>
    </w:tbl>
    <w:p w14:paraId="7D5A92DA" w14:textId="77777777" w:rsidR="00A17BE1" w:rsidRPr="00FD7130" w:rsidRDefault="00A17BE1" w:rsidP="00FD713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6C0AECF" w14:textId="77777777" w:rsidR="005B7615" w:rsidRDefault="005B7615" w:rsidP="00B054AE">
      <w:pPr>
        <w:jc w:val="both"/>
      </w:pPr>
    </w:p>
    <w:p w14:paraId="78FEE72E" w14:textId="77777777" w:rsidR="00A150E0" w:rsidRPr="00B054AE" w:rsidRDefault="008A07E8" w:rsidP="00914C82">
      <w:pPr>
        <w:jc w:val="center"/>
      </w:pPr>
      <w:r>
        <w:lastRenderedPageBreak/>
        <w:t>_____________________</w:t>
      </w:r>
    </w:p>
    <w:sectPr w:rsidR="00A150E0" w:rsidRPr="00B054AE" w:rsidSect="000F74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70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93FFF" w14:textId="77777777" w:rsidR="00BD1A64" w:rsidRDefault="00BD1A64" w:rsidP="00B81F38">
      <w:r>
        <w:separator/>
      </w:r>
    </w:p>
  </w:endnote>
  <w:endnote w:type="continuationSeparator" w:id="0">
    <w:p w14:paraId="0E3CD613" w14:textId="77777777" w:rsidR="00BD1A64" w:rsidRDefault="00BD1A64" w:rsidP="00B8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4E71E" w14:textId="77777777" w:rsidR="007D2781" w:rsidRDefault="007D278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5133413"/>
      <w:docPartObj>
        <w:docPartGallery w:val="Page Numbers (Bottom of Page)"/>
        <w:docPartUnique/>
      </w:docPartObj>
    </w:sdtPr>
    <w:sdtEndPr/>
    <w:sdtContent>
      <w:p w14:paraId="4A302ED9" w14:textId="77777777" w:rsidR="007D2781" w:rsidRDefault="007D278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838">
          <w:rPr>
            <w:noProof/>
          </w:rPr>
          <w:t>1</w:t>
        </w:r>
        <w:r>
          <w:fldChar w:fldCharType="end"/>
        </w:r>
      </w:p>
    </w:sdtContent>
  </w:sdt>
  <w:p w14:paraId="3582046A" w14:textId="77777777" w:rsidR="007D2781" w:rsidRDefault="007D278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1D40D" w14:textId="77777777" w:rsidR="007D2781" w:rsidRDefault="007D278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C3F27" w14:textId="77777777" w:rsidR="00BD1A64" w:rsidRDefault="00BD1A64" w:rsidP="00B81F38">
      <w:r>
        <w:separator/>
      </w:r>
    </w:p>
  </w:footnote>
  <w:footnote w:type="continuationSeparator" w:id="0">
    <w:p w14:paraId="6B28E105" w14:textId="77777777" w:rsidR="00BD1A64" w:rsidRDefault="00BD1A64" w:rsidP="00B8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45FF1" w14:textId="77777777" w:rsidR="007D2781" w:rsidRDefault="007D27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2386429"/>
      <w:docPartObj>
        <w:docPartGallery w:val="Page Numbers (Top of Page)"/>
        <w:docPartUnique/>
      </w:docPartObj>
    </w:sdtPr>
    <w:sdtEndPr/>
    <w:sdtContent>
      <w:p w14:paraId="32359A84" w14:textId="77777777" w:rsidR="007D2781" w:rsidRDefault="0035724B">
        <w:pPr>
          <w:pStyle w:val="Antrats"/>
          <w:jc w:val="right"/>
        </w:pPr>
      </w:p>
    </w:sdtContent>
  </w:sdt>
  <w:p w14:paraId="4D759750" w14:textId="77777777" w:rsidR="007D2781" w:rsidRDefault="007D278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E01A6" w14:textId="77777777" w:rsidR="007D2781" w:rsidRDefault="007D27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47BE"/>
    <w:multiLevelType w:val="hybridMultilevel"/>
    <w:tmpl w:val="2182D0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2C3F"/>
    <w:multiLevelType w:val="hybridMultilevel"/>
    <w:tmpl w:val="21E2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F2047"/>
    <w:multiLevelType w:val="multilevel"/>
    <w:tmpl w:val="4BA8005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3" w15:restartNumberingAfterBreak="0">
    <w:nsid w:val="360C15F2"/>
    <w:multiLevelType w:val="hybridMultilevel"/>
    <w:tmpl w:val="C5FCE088"/>
    <w:lvl w:ilvl="0" w:tplc="441A08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403"/>
    <w:rsid w:val="0000124E"/>
    <w:rsid w:val="0000125E"/>
    <w:rsid w:val="00003F7B"/>
    <w:rsid w:val="00004EDE"/>
    <w:rsid w:val="00011460"/>
    <w:rsid w:val="00015899"/>
    <w:rsid w:val="000179AA"/>
    <w:rsid w:val="0002128F"/>
    <w:rsid w:val="0003545B"/>
    <w:rsid w:val="00040CA9"/>
    <w:rsid w:val="00045B7E"/>
    <w:rsid w:val="0004647A"/>
    <w:rsid w:val="000637BD"/>
    <w:rsid w:val="000664DA"/>
    <w:rsid w:val="00072D55"/>
    <w:rsid w:val="00075A22"/>
    <w:rsid w:val="00076BEB"/>
    <w:rsid w:val="0008040E"/>
    <w:rsid w:val="00081291"/>
    <w:rsid w:val="00086BE2"/>
    <w:rsid w:val="00093962"/>
    <w:rsid w:val="00094485"/>
    <w:rsid w:val="00094EAD"/>
    <w:rsid w:val="000969CB"/>
    <w:rsid w:val="000A0598"/>
    <w:rsid w:val="000A5BE3"/>
    <w:rsid w:val="000B2673"/>
    <w:rsid w:val="000B3543"/>
    <w:rsid w:val="000B358E"/>
    <w:rsid w:val="000C48AF"/>
    <w:rsid w:val="000F2BE8"/>
    <w:rsid w:val="000F30BE"/>
    <w:rsid w:val="000F7441"/>
    <w:rsid w:val="00107327"/>
    <w:rsid w:val="001119F1"/>
    <w:rsid w:val="00116E29"/>
    <w:rsid w:val="00116E47"/>
    <w:rsid w:val="00117699"/>
    <w:rsid w:val="00126058"/>
    <w:rsid w:val="00133C17"/>
    <w:rsid w:val="00134E04"/>
    <w:rsid w:val="001355E9"/>
    <w:rsid w:val="001359B6"/>
    <w:rsid w:val="00135DB7"/>
    <w:rsid w:val="0014032E"/>
    <w:rsid w:val="00140C86"/>
    <w:rsid w:val="00165E8D"/>
    <w:rsid w:val="00175741"/>
    <w:rsid w:val="00175BD1"/>
    <w:rsid w:val="0017645B"/>
    <w:rsid w:val="001822CC"/>
    <w:rsid w:val="00184252"/>
    <w:rsid w:val="001857DA"/>
    <w:rsid w:val="001900A1"/>
    <w:rsid w:val="001911E3"/>
    <w:rsid w:val="001A254E"/>
    <w:rsid w:val="001A69C4"/>
    <w:rsid w:val="001B44BE"/>
    <w:rsid w:val="001C478D"/>
    <w:rsid w:val="001D2437"/>
    <w:rsid w:val="001D5C82"/>
    <w:rsid w:val="001E006C"/>
    <w:rsid w:val="001E1B5D"/>
    <w:rsid w:val="001E54C2"/>
    <w:rsid w:val="00206301"/>
    <w:rsid w:val="00214BAB"/>
    <w:rsid w:val="00216C0E"/>
    <w:rsid w:val="002338A2"/>
    <w:rsid w:val="002441AE"/>
    <w:rsid w:val="0024665F"/>
    <w:rsid w:val="0024766E"/>
    <w:rsid w:val="00255A67"/>
    <w:rsid w:val="00263391"/>
    <w:rsid w:val="00266830"/>
    <w:rsid w:val="00274406"/>
    <w:rsid w:val="0028079D"/>
    <w:rsid w:val="0028329B"/>
    <w:rsid w:val="00284A21"/>
    <w:rsid w:val="00287325"/>
    <w:rsid w:val="00293AD0"/>
    <w:rsid w:val="00293E17"/>
    <w:rsid w:val="00294155"/>
    <w:rsid w:val="002A496F"/>
    <w:rsid w:val="002B2722"/>
    <w:rsid w:val="002B3039"/>
    <w:rsid w:val="002B49EE"/>
    <w:rsid w:val="002D14A3"/>
    <w:rsid w:val="002D67CC"/>
    <w:rsid w:val="002E170C"/>
    <w:rsid w:val="002E557E"/>
    <w:rsid w:val="002F7A6E"/>
    <w:rsid w:val="003042AC"/>
    <w:rsid w:val="00316F89"/>
    <w:rsid w:val="00323C19"/>
    <w:rsid w:val="0034278C"/>
    <w:rsid w:val="0034331D"/>
    <w:rsid w:val="00347548"/>
    <w:rsid w:val="00350198"/>
    <w:rsid w:val="00354ABC"/>
    <w:rsid w:val="0035724B"/>
    <w:rsid w:val="00385508"/>
    <w:rsid w:val="003868DB"/>
    <w:rsid w:val="00390A81"/>
    <w:rsid w:val="003964BF"/>
    <w:rsid w:val="003A0453"/>
    <w:rsid w:val="003A1A00"/>
    <w:rsid w:val="003B145C"/>
    <w:rsid w:val="003C3F1A"/>
    <w:rsid w:val="003F3419"/>
    <w:rsid w:val="003F6DCD"/>
    <w:rsid w:val="004061F9"/>
    <w:rsid w:val="00410242"/>
    <w:rsid w:val="004133F7"/>
    <w:rsid w:val="00415A88"/>
    <w:rsid w:val="00426706"/>
    <w:rsid w:val="00433851"/>
    <w:rsid w:val="00436ABE"/>
    <w:rsid w:val="00441674"/>
    <w:rsid w:val="004566D5"/>
    <w:rsid w:val="00456CFB"/>
    <w:rsid w:val="00462A5D"/>
    <w:rsid w:val="00463EA1"/>
    <w:rsid w:val="004757B6"/>
    <w:rsid w:val="004B1313"/>
    <w:rsid w:val="004C528D"/>
    <w:rsid w:val="004E23E9"/>
    <w:rsid w:val="004E4EEC"/>
    <w:rsid w:val="004F224B"/>
    <w:rsid w:val="004F7CC0"/>
    <w:rsid w:val="004F7DF5"/>
    <w:rsid w:val="005069CB"/>
    <w:rsid w:val="00511D09"/>
    <w:rsid w:val="00514820"/>
    <w:rsid w:val="00514909"/>
    <w:rsid w:val="00515C70"/>
    <w:rsid w:val="00524732"/>
    <w:rsid w:val="00525875"/>
    <w:rsid w:val="005260C5"/>
    <w:rsid w:val="005316CE"/>
    <w:rsid w:val="00534677"/>
    <w:rsid w:val="00541546"/>
    <w:rsid w:val="00543802"/>
    <w:rsid w:val="005509CF"/>
    <w:rsid w:val="00553556"/>
    <w:rsid w:val="00561412"/>
    <w:rsid w:val="0056656E"/>
    <w:rsid w:val="00573E10"/>
    <w:rsid w:val="005850CD"/>
    <w:rsid w:val="005935F5"/>
    <w:rsid w:val="00593945"/>
    <w:rsid w:val="005A1FA6"/>
    <w:rsid w:val="005A627A"/>
    <w:rsid w:val="005A6B96"/>
    <w:rsid w:val="005B2403"/>
    <w:rsid w:val="005B5561"/>
    <w:rsid w:val="005B5F6D"/>
    <w:rsid w:val="005B7615"/>
    <w:rsid w:val="005C14C7"/>
    <w:rsid w:val="005F0D90"/>
    <w:rsid w:val="005F512E"/>
    <w:rsid w:val="005F7F16"/>
    <w:rsid w:val="00615592"/>
    <w:rsid w:val="006206C2"/>
    <w:rsid w:val="00623BC3"/>
    <w:rsid w:val="006453AA"/>
    <w:rsid w:val="00647D1B"/>
    <w:rsid w:val="00657E2B"/>
    <w:rsid w:val="00676F1C"/>
    <w:rsid w:val="00677218"/>
    <w:rsid w:val="00682B65"/>
    <w:rsid w:val="00691E22"/>
    <w:rsid w:val="006A125D"/>
    <w:rsid w:val="006B1B93"/>
    <w:rsid w:val="006B5703"/>
    <w:rsid w:val="006E0BE6"/>
    <w:rsid w:val="006E2670"/>
    <w:rsid w:val="006E41E9"/>
    <w:rsid w:val="006F0796"/>
    <w:rsid w:val="0070201B"/>
    <w:rsid w:val="00703961"/>
    <w:rsid w:val="00713397"/>
    <w:rsid w:val="00715120"/>
    <w:rsid w:val="007243A8"/>
    <w:rsid w:val="00724E68"/>
    <w:rsid w:val="00726EE7"/>
    <w:rsid w:val="00730040"/>
    <w:rsid w:val="007318AE"/>
    <w:rsid w:val="0073578B"/>
    <w:rsid w:val="00735A9F"/>
    <w:rsid w:val="00742C7B"/>
    <w:rsid w:val="0074579B"/>
    <w:rsid w:val="00754D93"/>
    <w:rsid w:val="00770E94"/>
    <w:rsid w:val="00781A70"/>
    <w:rsid w:val="00783D38"/>
    <w:rsid w:val="007924DE"/>
    <w:rsid w:val="00793B8B"/>
    <w:rsid w:val="007A372B"/>
    <w:rsid w:val="007A62AA"/>
    <w:rsid w:val="007B0091"/>
    <w:rsid w:val="007B3BE8"/>
    <w:rsid w:val="007D13A3"/>
    <w:rsid w:val="007D2007"/>
    <w:rsid w:val="007D2781"/>
    <w:rsid w:val="007E308D"/>
    <w:rsid w:val="007E4746"/>
    <w:rsid w:val="007E62C8"/>
    <w:rsid w:val="007F3DA1"/>
    <w:rsid w:val="008007E4"/>
    <w:rsid w:val="00803CA1"/>
    <w:rsid w:val="00804DBF"/>
    <w:rsid w:val="00817D98"/>
    <w:rsid w:val="0083272D"/>
    <w:rsid w:val="00837E94"/>
    <w:rsid w:val="0084610E"/>
    <w:rsid w:val="0084772E"/>
    <w:rsid w:val="00855778"/>
    <w:rsid w:val="00862D36"/>
    <w:rsid w:val="00864A3A"/>
    <w:rsid w:val="00871F57"/>
    <w:rsid w:val="008720AE"/>
    <w:rsid w:val="0087260C"/>
    <w:rsid w:val="0087509E"/>
    <w:rsid w:val="00876839"/>
    <w:rsid w:val="00882D9B"/>
    <w:rsid w:val="00895D9E"/>
    <w:rsid w:val="008A07E8"/>
    <w:rsid w:val="008A170B"/>
    <w:rsid w:val="008A2CC0"/>
    <w:rsid w:val="008A4109"/>
    <w:rsid w:val="008A4865"/>
    <w:rsid w:val="008B0814"/>
    <w:rsid w:val="008B22FA"/>
    <w:rsid w:val="008B5E04"/>
    <w:rsid w:val="008B7499"/>
    <w:rsid w:val="008C5795"/>
    <w:rsid w:val="008D7837"/>
    <w:rsid w:val="008F4BF9"/>
    <w:rsid w:val="009015D6"/>
    <w:rsid w:val="009022ED"/>
    <w:rsid w:val="0091054E"/>
    <w:rsid w:val="00911503"/>
    <w:rsid w:val="0091174D"/>
    <w:rsid w:val="00914C82"/>
    <w:rsid w:val="00920A67"/>
    <w:rsid w:val="0092188B"/>
    <w:rsid w:val="00927CF1"/>
    <w:rsid w:val="00931184"/>
    <w:rsid w:val="00940EDE"/>
    <w:rsid w:val="00941FB8"/>
    <w:rsid w:val="0094204E"/>
    <w:rsid w:val="009434E8"/>
    <w:rsid w:val="00960594"/>
    <w:rsid w:val="00977342"/>
    <w:rsid w:val="00982F7D"/>
    <w:rsid w:val="00986124"/>
    <w:rsid w:val="00986770"/>
    <w:rsid w:val="00996492"/>
    <w:rsid w:val="009A1DEE"/>
    <w:rsid w:val="009A51D1"/>
    <w:rsid w:val="009B16BF"/>
    <w:rsid w:val="009B5A60"/>
    <w:rsid w:val="009C0D40"/>
    <w:rsid w:val="009C1403"/>
    <w:rsid w:val="009C24DC"/>
    <w:rsid w:val="009C24EF"/>
    <w:rsid w:val="009C7706"/>
    <w:rsid w:val="009E0C42"/>
    <w:rsid w:val="009F0D16"/>
    <w:rsid w:val="009F24B3"/>
    <w:rsid w:val="00A0047D"/>
    <w:rsid w:val="00A078CF"/>
    <w:rsid w:val="00A150E0"/>
    <w:rsid w:val="00A17BE1"/>
    <w:rsid w:val="00A218BC"/>
    <w:rsid w:val="00A26230"/>
    <w:rsid w:val="00A32E47"/>
    <w:rsid w:val="00A504A1"/>
    <w:rsid w:val="00A552EE"/>
    <w:rsid w:val="00A56272"/>
    <w:rsid w:val="00A57069"/>
    <w:rsid w:val="00A7044A"/>
    <w:rsid w:val="00A80434"/>
    <w:rsid w:val="00A90B26"/>
    <w:rsid w:val="00A90F4A"/>
    <w:rsid w:val="00AA127B"/>
    <w:rsid w:val="00AA4E00"/>
    <w:rsid w:val="00AA6A33"/>
    <w:rsid w:val="00AA78DE"/>
    <w:rsid w:val="00AC6220"/>
    <w:rsid w:val="00AC664D"/>
    <w:rsid w:val="00AC6FF6"/>
    <w:rsid w:val="00AD05AC"/>
    <w:rsid w:val="00AD2035"/>
    <w:rsid w:val="00AD3EFA"/>
    <w:rsid w:val="00AD641E"/>
    <w:rsid w:val="00AE2B73"/>
    <w:rsid w:val="00AF4AAB"/>
    <w:rsid w:val="00B000F7"/>
    <w:rsid w:val="00B010F8"/>
    <w:rsid w:val="00B01E12"/>
    <w:rsid w:val="00B054AE"/>
    <w:rsid w:val="00B068BE"/>
    <w:rsid w:val="00B07722"/>
    <w:rsid w:val="00B1621D"/>
    <w:rsid w:val="00B26117"/>
    <w:rsid w:val="00B32F02"/>
    <w:rsid w:val="00B33837"/>
    <w:rsid w:val="00B33B8A"/>
    <w:rsid w:val="00B50704"/>
    <w:rsid w:val="00B53D1F"/>
    <w:rsid w:val="00B637C9"/>
    <w:rsid w:val="00B741BF"/>
    <w:rsid w:val="00B81B80"/>
    <w:rsid w:val="00B81F38"/>
    <w:rsid w:val="00B86B5F"/>
    <w:rsid w:val="00B92A34"/>
    <w:rsid w:val="00B97EFD"/>
    <w:rsid w:val="00BA5668"/>
    <w:rsid w:val="00BA7EA8"/>
    <w:rsid w:val="00BB56CA"/>
    <w:rsid w:val="00BC73BB"/>
    <w:rsid w:val="00BC777A"/>
    <w:rsid w:val="00BD1407"/>
    <w:rsid w:val="00BD1A64"/>
    <w:rsid w:val="00BD69A1"/>
    <w:rsid w:val="00BF7384"/>
    <w:rsid w:val="00C03838"/>
    <w:rsid w:val="00C0705A"/>
    <w:rsid w:val="00C2702A"/>
    <w:rsid w:val="00C32FD7"/>
    <w:rsid w:val="00C35C3C"/>
    <w:rsid w:val="00C36739"/>
    <w:rsid w:val="00C4618A"/>
    <w:rsid w:val="00C503C3"/>
    <w:rsid w:val="00C64A5B"/>
    <w:rsid w:val="00C65FAF"/>
    <w:rsid w:val="00C7675B"/>
    <w:rsid w:val="00C77C6E"/>
    <w:rsid w:val="00C9596D"/>
    <w:rsid w:val="00CA2381"/>
    <w:rsid w:val="00CB06CC"/>
    <w:rsid w:val="00CB47D1"/>
    <w:rsid w:val="00CB685F"/>
    <w:rsid w:val="00CC1FA4"/>
    <w:rsid w:val="00CD4829"/>
    <w:rsid w:val="00CE13E3"/>
    <w:rsid w:val="00CF23D2"/>
    <w:rsid w:val="00CF591D"/>
    <w:rsid w:val="00D02918"/>
    <w:rsid w:val="00D060AC"/>
    <w:rsid w:val="00D0714E"/>
    <w:rsid w:val="00D37070"/>
    <w:rsid w:val="00D45493"/>
    <w:rsid w:val="00D5399D"/>
    <w:rsid w:val="00D57389"/>
    <w:rsid w:val="00D61D6A"/>
    <w:rsid w:val="00D6364F"/>
    <w:rsid w:val="00D666D1"/>
    <w:rsid w:val="00D74252"/>
    <w:rsid w:val="00D77681"/>
    <w:rsid w:val="00D82164"/>
    <w:rsid w:val="00D90A34"/>
    <w:rsid w:val="00DA0868"/>
    <w:rsid w:val="00DB1DC7"/>
    <w:rsid w:val="00DB4833"/>
    <w:rsid w:val="00DB78DA"/>
    <w:rsid w:val="00DC7973"/>
    <w:rsid w:val="00DD26D3"/>
    <w:rsid w:val="00DD51E7"/>
    <w:rsid w:val="00DD5939"/>
    <w:rsid w:val="00DE1D49"/>
    <w:rsid w:val="00DE206F"/>
    <w:rsid w:val="00DE6E52"/>
    <w:rsid w:val="00DE787F"/>
    <w:rsid w:val="00DE7EDC"/>
    <w:rsid w:val="00DF09E6"/>
    <w:rsid w:val="00DF4638"/>
    <w:rsid w:val="00DF74CA"/>
    <w:rsid w:val="00DF7A25"/>
    <w:rsid w:val="00E04278"/>
    <w:rsid w:val="00E15C99"/>
    <w:rsid w:val="00E17819"/>
    <w:rsid w:val="00E3351B"/>
    <w:rsid w:val="00E46C92"/>
    <w:rsid w:val="00E5085E"/>
    <w:rsid w:val="00E559F7"/>
    <w:rsid w:val="00E574D3"/>
    <w:rsid w:val="00E611E8"/>
    <w:rsid w:val="00E61B74"/>
    <w:rsid w:val="00E61FDA"/>
    <w:rsid w:val="00E64065"/>
    <w:rsid w:val="00E704FB"/>
    <w:rsid w:val="00E713AD"/>
    <w:rsid w:val="00E7367C"/>
    <w:rsid w:val="00E76139"/>
    <w:rsid w:val="00E83278"/>
    <w:rsid w:val="00E879B0"/>
    <w:rsid w:val="00E974CC"/>
    <w:rsid w:val="00EA0F3C"/>
    <w:rsid w:val="00EB517E"/>
    <w:rsid w:val="00EB64F1"/>
    <w:rsid w:val="00EB7470"/>
    <w:rsid w:val="00EC42A8"/>
    <w:rsid w:val="00EC4468"/>
    <w:rsid w:val="00EC4477"/>
    <w:rsid w:val="00EC78F6"/>
    <w:rsid w:val="00EE4D59"/>
    <w:rsid w:val="00EE6A0F"/>
    <w:rsid w:val="00EF407D"/>
    <w:rsid w:val="00EF59F0"/>
    <w:rsid w:val="00F10C04"/>
    <w:rsid w:val="00F111AF"/>
    <w:rsid w:val="00F12D23"/>
    <w:rsid w:val="00F209DF"/>
    <w:rsid w:val="00F216BD"/>
    <w:rsid w:val="00F263D6"/>
    <w:rsid w:val="00F31EB8"/>
    <w:rsid w:val="00F335F3"/>
    <w:rsid w:val="00F440BE"/>
    <w:rsid w:val="00F5539E"/>
    <w:rsid w:val="00F61CD9"/>
    <w:rsid w:val="00F62B63"/>
    <w:rsid w:val="00F64E4C"/>
    <w:rsid w:val="00F6504C"/>
    <w:rsid w:val="00F672C4"/>
    <w:rsid w:val="00F67F73"/>
    <w:rsid w:val="00F729FB"/>
    <w:rsid w:val="00F74C67"/>
    <w:rsid w:val="00F76258"/>
    <w:rsid w:val="00F86D90"/>
    <w:rsid w:val="00F9388C"/>
    <w:rsid w:val="00F93ED4"/>
    <w:rsid w:val="00FA3E0B"/>
    <w:rsid w:val="00FB3FE9"/>
    <w:rsid w:val="00FC204B"/>
    <w:rsid w:val="00FC2CB4"/>
    <w:rsid w:val="00FC5C1A"/>
    <w:rsid w:val="00FD7130"/>
    <w:rsid w:val="00FE03E1"/>
    <w:rsid w:val="00FF1538"/>
    <w:rsid w:val="00FF1E45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1A78"/>
  <w15:docId w15:val="{E0416925-3538-49FB-9AC8-2AA3E657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3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A078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83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14C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24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rsid w:val="00862D36"/>
    <w:rPr>
      <w:color w:val="000080"/>
      <w:u w:val="single"/>
    </w:rPr>
  </w:style>
  <w:style w:type="character" w:styleId="Emfaz">
    <w:name w:val="Emphasis"/>
    <w:basedOn w:val="Numatytasispastraiposriftas"/>
    <w:uiPriority w:val="20"/>
    <w:qFormat/>
    <w:rsid w:val="00D6364F"/>
    <w:rPr>
      <w:i/>
    </w:rPr>
  </w:style>
  <w:style w:type="paragraph" w:styleId="prastasiniatinklio">
    <w:name w:val="Normal (Web)"/>
    <w:basedOn w:val="prastasis"/>
    <w:uiPriority w:val="99"/>
    <w:unhideWhenUsed/>
    <w:rsid w:val="00D37070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D37070"/>
    <w:rPr>
      <w:b/>
      <w:bCs/>
    </w:rPr>
  </w:style>
  <w:style w:type="character" w:customStyle="1" w:styleId="apple-converted-space">
    <w:name w:val="apple-converted-space"/>
    <w:basedOn w:val="Numatytasispastraiposriftas"/>
    <w:rsid w:val="00D3707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1B8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1B80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Numatytasispastraiposriftas"/>
    <w:rsid w:val="0084610E"/>
  </w:style>
  <w:style w:type="character" w:customStyle="1" w:styleId="Antrat1Diagrama">
    <w:name w:val="Antraštė 1 Diagrama"/>
    <w:basedOn w:val="Numatytasispastraiposriftas"/>
    <w:link w:val="Antrat1"/>
    <w:uiPriority w:val="9"/>
    <w:rsid w:val="00A078C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Pagrindinistekstas">
    <w:name w:val="Body Text"/>
    <w:basedOn w:val="prastasis"/>
    <w:link w:val="PagrindinistekstasDiagrama"/>
    <w:rsid w:val="00B068BE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068B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etarp">
    <w:name w:val="No Spacing"/>
    <w:qFormat/>
    <w:rsid w:val="00FD7130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F1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738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TMLiankstoformatuotas">
    <w:name w:val="HTML Preformatted"/>
    <w:basedOn w:val="prastasis"/>
    <w:link w:val="HTMLiankstoformatuotasDiagrama"/>
    <w:rsid w:val="007F3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F3DA1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Style9">
    <w:name w:val="Style9"/>
    <w:basedOn w:val="prastasis"/>
    <w:uiPriority w:val="99"/>
    <w:rsid w:val="000179AA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lang w:val="en-US" w:eastAsia="en-US"/>
    </w:rPr>
  </w:style>
  <w:style w:type="character" w:customStyle="1" w:styleId="FontStyle17">
    <w:name w:val="Font Style17"/>
    <w:rsid w:val="000179AA"/>
    <w:rPr>
      <w:rFonts w:ascii="Times New Roman" w:hAnsi="Times New Roman"/>
      <w:sz w:val="2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14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raopastraipa1">
    <w:name w:val="Sąrašo pastraipa1"/>
    <w:basedOn w:val="prastasis"/>
    <w:uiPriority w:val="34"/>
    <w:qFormat/>
    <w:rsid w:val="00DE78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900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00A1"/>
  </w:style>
  <w:style w:type="paragraph" w:styleId="Pavadinimas">
    <w:name w:val="Title"/>
    <w:basedOn w:val="prastasis"/>
    <w:next w:val="Paantrat"/>
    <w:link w:val="PavadinimasDiagrama"/>
    <w:qFormat/>
    <w:rsid w:val="008720AE"/>
    <w:pPr>
      <w:suppressAutoHyphens/>
      <w:jc w:val="center"/>
    </w:pPr>
    <w:rPr>
      <w:b/>
      <w:bCs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720A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8720AE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PaantratDiagrama">
    <w:name w:val="Paantraštė Diagrama"/>
    <w:basedOn w:val="Numatytasispastraiposriftas"/>
    <w:link w:val="Paantrat"/>
    <w:rsid w:val="008720AE"/>
    <w:rPr>
      <w:rFonts w:ascii="Cambria" w:eastAsia="Times New Roman" w:hAnsi="Cambria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81F3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81F38"/>
  </w:style>
  <w:style w:type="paragraph" w:customStyle="1" w:styleId="NormalWeb1">
    <w:name w:val="Normal (Web)1"/>
    <w:basedOn w:val="prastasis"/>
    <w:rsid w:val="008A07E8"/>
    <w:pPr>
      <w:widowControl w:val="0"/>
      <w:suppressAutoHyphens/>
      <w:autoSpaceDN w:val="0"/>
    </w:pPr>
    <w:rPr>
      <w:rFonts w:eastAsia="SimSun" w:cs="Tahoma"/>
      <w:kern w:val="3"/>
      <w:lang w:eastAsia="hi-IN" w:bidi="hi-IN"/>
    </w:rPr>
  </w:style>
  <w:style w:type="paragraph" w:customStyle="1" w:styleId="Style10">
    <w:name w:val="Style10"/>
    <w:basedOn w:val="prastasis"/>
    <w:rsid w:val="00AE2B73"/>
    <w:pPr>
      <w:widowControl w:val="0"/>
      <w:autoSpaceDE w:val="0"/>
      <w:autoSpaceDN w:val="0"/>
      <w:adjustRightInd w:val="0"/>
      <w:spacing w:line="221" w:lineRule="exact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783D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paragraph" w:customStyle="1" w:styleId="Default">
    <w:name w:val="Default"/>
    <w:rsid w:val="00FA3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48FC5-350D-416F-94C1-D91C9F96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10691</Words>
  <Characters>6095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Vaitonienė</dc:creator>
  <cp:lastModifiedBy>Inga Mockeviciene</cp:lastModifiedBy>
  <cp:revision>4</cp:revision>
  <cp:lastPrinted>2021-02-25T13:20:00Z</cp:lastPrinted>
  <dcterms:created xsi:type="dcterms:W3CDTF">2021-02-08T12:43:00Z</dcterms:created>
  <dcterms:modified xsi:type="dcterms:W3CDTF">2021-02-25T13:21:00Z</dcterms:modified>
</cp:coreProperties>
</file>