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A5" w:rsidRPr="000A3613" w:rsidRDefault="00F937A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Asmenys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kurie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domisi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globa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įvaikinimu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laikino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svečiavimosi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sąlygomis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tapimu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budinčiais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globotojais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kviečiami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kreiptis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Neringos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socialinių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paslaugų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centro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globos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centrą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adresu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Taikos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g. 11-2,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Neringa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arba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į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Neringos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socialinių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paslaugų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centro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globos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centro</w:t>
      </w:r>
      <w:proofErr w:type="spellEnd"/>
      <w:proofErr w:type="gram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specialistę</w:t>
      </w:r>
      <w:proofErr w:type="spellEnd"/>
      <w:proofErr w:type="gram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globos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koordinatorę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Vaivą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Makšimaitę</w:t>
      </w:r>
      <w:proofErr w:type="spellEnd"/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, tel. </w:t>
      </w:r>
      <w:hyperlink r:id="rId5" w:history="1">
        <w:r w:rsidRPr="000A361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8 659 81 526</w:t>
        </w:r>
      </w:hyperlink>
      <w:r w:rsidRPr="000A3613">
        <w:rPr>
          <w:rFonts w:ascii="Times New Roman" w:hAnsi="Times New Roman" w:cs="Times New Roman"/>
          <w:sz w:val="24"/>
          <w:szCs w:val="24"/>
          <w:shd w:val="clear" w:color="auto" w:fill="FFFFFF"/>
        </w:rPr>
        <w:t>, el. p. </w:t>
      </w:r>
      <w:hyperlink r:id="rId6" w:history="1">
        <w:r w:rsidRPr="000A361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vaiva.maksimaite@neringosspc.lt</w:t>
        </w:r>
      </w:hyperlink>
      <w:r w:rsidRPr="000A3613">
        <w:rPr>
          <w:rFonts w:ascii="Times New Roman" w:hAnsi="Times New Roman" w:cs="Times New Roman"/>
          <w:sz w:val="24"/>
          <w:szCs w:val="24"/>
        </w:rPr>
        <w:t>.</w:t>
      </w:r>
    </w:p>
    <w:p w:rsidR="00F937A5" w:rsidRPr="00F937A5" w:rsidRDefault="00F937A5" w:rsidP="00F937A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>Globos</w:t>
      </w:r>
      <w:proofErr w:type="spellEnd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>centro</w:t>
      </w:r>
      <w:proofErr w:type="spellEnd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>veiklos</w:t>
      </w:r>
      <w:proofErr w:type="spellEnd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 –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užtikrinti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kad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visiems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tėvų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netekusiems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įvaikintiems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globojamiems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rūpinamiems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globojamiems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rūpinamiems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prižiūrimiems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asmenims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ketinantiems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tapti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būtų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prieinama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suteikiama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reikalinga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konsultacinė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psichosocialinė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teisinė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siekiant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įvaikį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tinkamai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ugdyti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auklėti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šeimai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artimoje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aplinkoje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7A5" w:rsidRPr="00F937A5" w:rsidRDefault="00F937A5" w:rsidP="00F937A5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>Globos</w:t>
      </w:r>
      <w:proofErr w:type="spellEnd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>centro</w:t>
      </w:r>
      <w:proofErr w:type="spellEnd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>funkcijos</w:t>
      </w:r>
      <w:proofErr w:type="spellEnd"/>
      <w:r w:rsidRPr="000A361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vykdo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A3613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paiešką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vykdo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paiešką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savivaldybės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teritorijoje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esančiuose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namuose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bendruomeniniuose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namuose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Konsultuoja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asmenis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pageidaujančius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įvaikinti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tapti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asmenis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siekiančius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steigti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tapti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Vykdo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pasirengimo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prižiūrėti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auginti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įvaikinti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bendruomeninių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namų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darbuotojų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pasirengimo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dirbti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šiose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įstaigose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mokymus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GIMK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programą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informavimo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konsultavimo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norintiems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tapti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asmenims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rengia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asmenų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siekiančių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tapti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mokymus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pasirengimo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tėvų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netekusio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globai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priežiūrai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įvaikinimui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vertinimą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savitarpio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grupes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Raštu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informuoja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savivaldybės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administraciją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VVTAĮT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įgaliotą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teritorinį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skyrių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bendradarbiavimo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sutarčių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sudarymą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nutraukimą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Dalyvauja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laikinosios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rūpybos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peržiūrose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atvejo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nagrinėjimo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posėdžiuose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Koordinuoja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prižiūrimiems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reikiamą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socialinę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psichosocialinę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konsultacinę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teisinę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kt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.);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lastRenderedPageBreak/>
        <w:t>Koordinuoja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globojamiems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rūpinamiems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psichosocialinę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konsultacinę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reikiamą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Šios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gali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būti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teikiamos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pateikusiems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prašymą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tęstinių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intensyvią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laikino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atokvėpio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esant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galimybėms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Įgyvendina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kurį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prižiūri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atstovo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įstatymą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teises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pareigas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Kiekvieną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mėnesį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moka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budinčiam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lėšas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išlaikyti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atlygį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už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priežiūrą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toliau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atlygis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budinčiam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Vertina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vykdomos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priežiūros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kokybę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Užtikrindamas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geriausius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interesus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bendradarbiauja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savivaldybės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administracija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tarpinstitucinio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bendradarbiavimo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koordinatoriumi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specialistais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VVTAĮT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įgaliotu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teritoriniu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skyriumi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socialinių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švietimo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sveikatos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priežiūros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įstaigomis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teisėsaugos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institucijomis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nevyriausybinėmis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organizacijomis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socialiniais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darbuotojais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dirbančiais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atvejo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vadybininkais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Vertindamas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poreikius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planuodamas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teikdamas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organizuodamas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koordinuotą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budinčiam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turi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surinkti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visą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koordinuotai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pagalbai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reikiamą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informaciją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įskaitant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asmens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duomenis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dokumentų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kopijas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centras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privalo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bendradarbiauti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VVTAĮT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teritoriniu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skyriumi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VVTAĮT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pateikus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raštišką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prašymą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jam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turimų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dokumentų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kopijas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informaciją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įskaitant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asmens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duomenis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globojamą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rūpinamą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susijusią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savivaldybės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administracijos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atliekamais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veiksmais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organizuojant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teikiant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budinčiam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persikėlus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globojamu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rūpinamu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savivaldybę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centras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privalo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nedelsdamas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informuoti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teritorijoje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veikiantį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VVTAĮT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teritorinį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skyrių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savivaldybės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administraciją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pranešti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globojamam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rūpinamam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nutraukimą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perduoti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kitam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centrui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veikiančiam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savivaldybės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teritorijoje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į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kurią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persikraustė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tvarkomos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937A5">
        <w:rPr>
          <w:rFonts w:ascii="Times New Roman" w:eastAsia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bylos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dokumentų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kopijas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raštišką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svarbiausios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informacijos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teikimo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laikotarpį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apibendrinimą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poreikį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bendradarbiauja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prižiūrimo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globojamo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rūpinamo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jei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tai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neprieštarauja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interesams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tėvais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artimais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giminaičiais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fiziniais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asmenimis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emociniais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ryšiais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susijusiais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paruošia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prižiūrimą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globojamą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rūpinamą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jeigu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yra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poreikis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susitikimams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dalyvauja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grąžinant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tėvams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atstovams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įstatymą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Bendradarbiauja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dėl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išskirtų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brolių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seserų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grupių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susitikimų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užtikrina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sąlygas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išskirtų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brolių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seserų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grupei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bendrauti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palaikyti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tarpusavio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ryšius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atsižvelgdamas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geriausius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interesus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augti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vystytis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teisę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išlaikyti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brolių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seserų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tarpusavio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ryšius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atvejais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brolių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seserų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grupė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išskaidoma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nustatoma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skirtingų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rūpyba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Dalijasi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gerąja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patirtimi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socialinių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įstaigomis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bendruomeninių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namų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darbuotojais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namų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darbuotojais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Renka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analizuoja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duomenis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profesinės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kompetencijos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tobulinimo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kursus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specialistams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Vertina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mokymų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aktualiomis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temomis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poreikį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prašymu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juos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prašymu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organizuoja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priežiūros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paslaugas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Įvairiomis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komunikacijos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priemonėmis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viešina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centro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veiklą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šviečia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visuomenę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rūpybos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įvaikinimo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klausimais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skatina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teigiamas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visuomenės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nuostatas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pozityvų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požiūrį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į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netekusius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tėvų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informuoja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įvaikinimo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rūpybos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šeimoje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budinčio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veiklos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galimybes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Viešai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skelbia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informaciją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apie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planuojamus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rengti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mokymus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GIMK;</w:t>
      </w:r>
    </w:p>
    <w:p w:rsidR="00F937A5" w:rsidRPr="00F937A5" w:rsidRDefault="00F937A5" w:rsidP="00F937A5">
      <w:pPr>
        <w:numPr>
          <w:ilvl w:val="0"/>
          <w:numId w:val="1"/>
        </w:numPr>
        <w:shd w:val="clear" w:color="auto" w:fill="FFFFFF"/>
        <w:spacing w:before="100" w:after="0" w:line="360" w:lineRule="atLeast"/>
        <w:ind w:left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Vykdo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kitas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funkcijas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susijusias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pagalba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vaikams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budintiems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globotojams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globėjams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rūpintojams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šeimynų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dalyviams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įtėviams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kartu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gyvenantiems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jų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šeimos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37A5">
        <w:rPr>
          <w:rFonts w:ascii="Times New Roman" w:eastAsia="Times New Roman" w:hAnsi="Times New Roman" w:cs="Times New Roman"/>
          <w:sz w:val="24"/>
          <w:szCs w:val="24"/>
        </w:rPr>
        <w:t>nariams</w:t>
      </w:r>
      <w:proofErr w:type="spellEnd"/>
      <w:r w:rsidRPr="00F937A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937A5" w:rsidRPr="000A3613" w:rsidRDefault="00F937A5">
      <w:pPr>
        <w:rPr>
          <w:rFonts w:ascii="Times New Roman" w:hAnsi="Times New Roman" w:cs="Times New Roman"/>
          <w:sz w:val="24"/>
          <w:szCs w:val="24"/>
        </w:rPr>
      </w:pPr>
    </w:p>
    <w:p w:rsidR="00F937A5" w:rsidRPr="000A3613" w:rsidRDefault="00F937A5" w:rsidP="00F937A5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A3613">
        <w:rPr>
          <w:rFonts w:ascii="Times New Roman" w:hAnsi="Times New Roman" w:cs="Times New Roman"/>
          <w:sz w:val="24"/>
          <w:szCs w:val="24"/>
        </w:rPr>
        <w:t>Daugiau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informacijos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Neringos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sociainių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globos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centro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galite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rasti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adresu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A361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https://neringosspc.lt/category/globos-centras/</w:t>
        </w:r>
      </w:hyperlink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paskyroje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Vaikai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yra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613">
        <w:rPr>
          <w:rFonts w:ascii="Times New Roman" w:hAnsi="Times New Roman" w:cs="Times New Roman"/>
          <w:sz w:val="24"/>
          <w:szCs w:val="24"/>
        </w:rPr>
        <w:t>vaikai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3613">
        <w:rPr>
          <w:rFonts w:ascii="Times New Roman" w:hAnsi="Times New Roman" w:cs="Times New Roman"/>
          <w:sz w:val="24"/>
          <w:szCs w:val="24"/>
        </w:rPr>
        <w:t>Neringa</w:t>
      </w:r>
      <w:proofErr w:type="spellEnd"/>
      <w:r w:rsidRPr="000A36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36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7A5" w:rsidRPr="00F937A5" w:rsidRDefault="00F937A5">
      <w:pPr>
        <w:rPr>
          <w:lang w:val="lt-LT"/>
        </w:rPr>
      </w:pPr>
    </w:p>
    <w:p w:rsidR="00F937A5" w:rsidRPr="00F937A5" w:rsidRDefault="00F937A5"/>
    <w:sectPr w:rsidR="00F937A5" w:rsidRPr="00F93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02256"/>
    <w:multiLevelType w:val="multilevel"/>
    <w:tmpl w:val="CECA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937A5"/>
    <w:rsid w:val="000A3613"/>
    <w:rsid w:val="00764238"/>
    <w:rsid w:val="00F937A5"/>
    <w:rsid w:val="00F9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37A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9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37A5"/>
    <w:rPr>
      <w:b/>
      <w:bCs/>
    </w:rPr>
  </w:style>
  <w:style w:type="character" w:styleId="Emphasis">
    <w:name w:val="Emphasis"/>
    <w:basedOn w:val="DefaultParagraphFont"/>
    <w:uiPriority w:val="20"/>
    <w:qFormat/>
    <w:rsid w:val="00F937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eringosspc.lt/category/globos-centr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iva.maksimaite@neringosspc.lt" TargetMode="External"/><Relationship Id="rId5" Type="http://schemas.openxmlformats.org/officeDocument/2006/relationships/hyperlink" Target="tel:8%C2%A0659%2081%C2%A052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1188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2022-08-04T08:19:00Z</dcterms:created>
  <dcterms:modified xsi:type="dcterms:W3CDTF">2022-08-04T08:19:00Z</dcterms:modified>
</cp:coreProperties>
</file>